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default" w:eastAsia="宋体"/>
          <w:sz w:val="28"/>
          <w:szCs w:val="28"/>
          <w:lang w:val="en-US" w:eastAsia="zh-CN"/>
        </w:rPr>
      </w:pPr>
      <w:r>
        <w:rPr>
          <w:rFonts w:hint="eastAsia" w:ascii="宋体" w:hAnsi="宋体" w:eastAsia="宋体" w:cs="宋体"/>
          <w:b/>
          <w:bCs/>
          <w:sz w:val="32"/>
          <w:szCs w:val="32"/>
          <w:lang w:val="en-US" w:eastAsia="zh-CN"/>
        </w:rPr>
        <w:t>XXX</w:t>
      </w:r>
      <w:r>
        <w:rPr>
          <w:rFonts w:hint="eastAsia" w:ascii="宋体" w:hAnsi="宋体" w:eastAsia="宋体" w:cs="宋体"/>
          <w:b/>
          <w:bCs/>
          <w:sz w:val="32"/>
          <w:szCs w:val="32"/>
        </w:rPr>
        <w:t>职业本科专业人才培养方案</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本科）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专业名称及代码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XXX（XXX）</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2 </w:t>
      </w:r>
      <w:r>
        <w:rPr>
          <w:rFonts w:hint="eastAsia" w:ascii="宋体" w:hAnsi="宋体" w:eastAsia="宋体" w:cs="宋体"/>
          <w:b/>
          <w:bCs/>
          <w:sz w:val="28"/>
          <w:szCs w:val="28"/>
        </w:rPr>
        <w:t>入学基本要求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8"/>
          <w:szCs w:val="28"/>
        </w:rPr>
      </w:pPr>
      <w:r>
        <w:rPr>
          <w:rFonts w:hint="eastAsia" w:ascii="宋体" w:hAnsi="宋体" w:eastAsia="宋体" w:cs="宋体"/>
          <w:sz w:val="24"/>
          <w:szCs w:val="24"/>
        </w:rPr>
        <w:t>中等职业学校毕业、普通高级中学毕业或具备同等学力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3 </w:t>
      </w:r>
      <w:r>
        <w:rPr>
          <w:rFonts w:hint="eastAsia" w:ascii="宋体" w:hAnsi="宋体" w:eastAsia="宋体" w:cs="宋体"/>
          <w:b/>
          <w:bCs/>
          <w:sz w:val="28"/>
          <w:szCs w:val="28"/>
        </w:rPr>
        <w:t>基本修业年限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4 </w:t>
      </w:r>
      <w:r>
        <w:rPr>
          <w:rFonts w:hint="eastAsia" w:ascii="宋体" w:hAnsi="宋体" w:eastAsia="宋体" w:cs="宋体"/>
          <w:b/>
          <w:bCs/>
          <w:sz w:val="28"/>
          <w:szCs w:val="28"/>
        </w:rPr>
        <w:t>职业面向</w:t>
      </w:r>
    </w:p>
    <w:tbl>
      <w:tblPr>
        <w:tblStyle w:val="15"/>
        <w:tblW w:w="5000" w:type="pct"/>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5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2" w:type="pct"/>
            <w:noWrap w:val="0"/>
            <w:vAlign w:val="center"/>
          </w:tcPr>
          <w:p>
            <w:pPr>
              <w:adjustRightInd w:val="0"/>
              <w:snapToGrid w:val="0"/>
              <w:spacing w:before="176" w:beforeLines="30" w:after="176" w:afterLines="30"/>
              <w:rPr>
                <w:rFonts w:hint="eastAsia" w:ascii="宋体" w:hAnsi="宋体" w:eastAsia="宋体" w:cs="宋体"/>
                <w:bCs/>
                <w:sz w:val="21"/>
                <w:szCs w:val="21"/>
              </w:rPr>
            </w:pPr>
            <w:r>
              <w:rPr>
                <w:rFonts w:hint="eastAsia" w:ascii="宋体" w:hAnsi="宋体" w:eastAsia="宋体" w:cs="宋体"/>
                <w:bCs/>
                <w:sz w:val="21"/>
                <w:szCs w:val="21"/>
              </w:rPr>
              <w:t>所属专业大类（代码）</w:t>
            </w:r>
          </w:p>
        </w:tc>
        <w:tc>
          <w:tcPr>
            <w:tcW w:w="3377" w:type="pct"/>
            <w:noWrap w:val="0"/>
            <w:vAlign w:val="center"/>
          </w:tcPr>
          <w:p>
            <w:pPr>
              <w:adjustRightInd w:val="0"/>
              <w:snapToGrid w:val="0"/>
              <w:spacing w:before="176" w:beforeLines="30" w:after="176" w:afterLines="30"/>
              <w:rPr>
                <w:rFonts w:hint="eastAsia" w:ascii="宋体" w:hAnsi="宋体" w:eastAsia="宋体" w:cs="宋体"/>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2" w:type="pct"/>
            <w:noWrap w:val="0"/>
            <w:vAlign w:val="center"/>
          </w:tcPr>
          <w:p>
            <w:pPr>
              <w:adjustRightInd w:val="0"/>
              <w:snapToGrid w:val="0"/>
              <w:spacing w:before="176" w:beforeLines="30" w:after="176" w:afterLines="30"/>
              <w:rPr>
                <w:rFonts w:hint="eastAsia" w:ascii="宋体" w:hAnsi="宋体" w:eastAsia="宋体" w:cs="宋体"/>
                <w:bCs/>
                <w:sz w:val="21"/>
                <w:szCs w:val="21"/>
              </w:rPr>
            </w:pPr>
            <w:r>
              <w:rPr>
                <w:rFonts w:hint="eastAsia" w:ascii="宋体" w:hAnsi="宋体" w:eastAsia="宋体" w:cs="宋体"/>
                <w:bCs/>
                <w:sz w:val="21"/>
                <w:szCs w:val="21"/>
              </w:rPr>
              <w:t>所属专业类（代码）</w:t>
            </w:r>
          </w:p>
        </w:tc>
        <w:tc>
          <w:tcPr>
            <w:tcW w:w="3377" w:type="pct"/>
            <w:noWrap w:val="0"/>
            <w:vAlign w:val="center"/>
          </w:tcPr>
          <w:p>
            <w:pPr>
              <w:adjustRightInd w:val="0"/>
              <w:snapToGrid w:val="0"/>
              <w:spacing w:before="176" w:beforeLines="30" w:after="176" w:afterLines="30"/>
              <w:rPr>
                <w:rFonts w:hint="eastAsia" w:ascii="宋体" w:hAnsi="宋体" w:eastAsia="宋体" w:cs="宋体"/>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2" w:type="pct"/>
            <w:noWrap w:val="0"/>
            <w:vAlign w:val="center"/>
          </w:tcPr>
          <w:p>
            <w:pPr>
              <w:adjustRightInd w:val="0"/>
              <w:snapToGrid w:val="0"/>
              <w:spacing w:before="176" w:beforeLines="30" w:after="176" w:afterLines="30"/>
              <w:rPr>
                <w:rFonts w:hint="eastAsia" w:ascii="宋体" w:hAnsi="宋体" w:eastAsia="宋体" w:cs="宋体"/>
                <w:bCs/>
                <w:sz w:val="21"/>
                <w:szCs w:val="21"/>
              </w:rPr>
            </w:pPr>
            <w:r>
              <w:rPr>
                <w:rFonts w:hint="eastAsia" w:ascii="宋体" w:hAnsi="宋体" w:eastAsia="宋体" w:cs="宋体"/>
                <w:bCs/>
                <w:sz w:val="21"/>
                <w:szCs w:val="21"/>
              </w:rPr>
              <w:t>对应行业（代码）</w:t>
            </w:r>
          </w:p>
        </w:tc>
        <w:tc>
          <w:tcPr>
            <w:tcW w:w="3377" w:type="pct"/>
            <w:noWrap w:val="0"/>
            <w:vAlign w:val="center"/>
          </w:tcPr>
          <w:p>
            <w:pPr>
              <w:adjustRightInd w:val="0"/>
              <w:snapToGrid w:val="0"/>
              <w:spacing w:before="176" w:beforeLines="30" w:after="176" w:afterLines="30"/>
              <w:rPr>
                <w:rFonts w:hint="eastAsia" w:ascii="宋体" w:hAnsi="宋体" w:eastAsia="宋体" w:cs="宋体"/>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2" w:type="pct"/>
            <w:noWrap w:val="0"/>
            <w:vAlign w:val="center"/>
          </w:tcPr>
          <w:p>
            <w:pPr>
              <w:adjustRightInd w:val="0"/>
              <w:snapToGrid w:val="0"/>
              <w:spacing w:before="176" w:beforeLines="30" w:after="176" w:afterLines="30"/>
              <w:rPr>
                <w:rFonts w:hint="eastAsia" w:ascii="宋体" w:hAnsi="宋体" w:eastAsia="宋体" w:cs="宋体"/>
                <w:bCs/>
                <w:sz w:val="21"/>
                <w:szCs w:val="21"/>
              </w:rPr>
            </w:pPr>
            <w:r>
              <w:rPr>
                <w:rFonts w:hint="eastAsia" w:ascii="宋体" w:hAnsi="宋体" w:eastAsia="宋体" w:cs="宋体"/>
                <w:bCs/>
                <w:sz w:val="21"/>
                <w:szCs w:val="21"/>
              </w:rPr>
              <w:t>主要职业类别（代码）</w:t>
            </w:r>
          </w:p>
        </w:tc>
        <w:tc>
          <w:tcPr>
            <w:tcW w:w="3377" w:type="pct"/>
            <w:noWrap w:val="0"/>
            <w:vAlign w:val="center"/>
          </w:tcPr>
          <w:p>
            <w:pPr>
              <w:adjustRightInd w:val="0"/>
              <w:snapToGrid w:val="0"/>
              <w:spacing w:before="176" w:beforeLines="30" w:after="176" w:afterLines="30"/>
              <w:rPr>
                <w:rFonts w:hint="eastAsia" w:ascii="宋体" w:hAnsi="宋体" w:eastAsia="宋体" w:cs="宋体"/>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2" w:type="pct"/>
            <w:noWrap w:val="0"/>
            <w:vAlign w:val="center"/>
          </w:tcPr>
          <w:p>
            <w:pPr>
              <w:adjustRightInd w:val="0"/>
              <w:snapToGrid w:val="0"/>
              <w:spacing w:before="176" w:beforeLines="30" w:after="176" w:afterLines="30"/>
              <w:rPr>
                <w:rFonts w:hint="eastAsia" w:ascii="宋体" w:hAnsi="宋体" w:eastAsia="宋体" w:cs="宋体"/>
                <w:bCs/>
                <w:sz w:val="21"/>
                <w:szCs w:val="21"/>
              </w:rPr>
            </w:pPr>
            <w:r>
              <w:rPr>
                <w:rFonts w:hint="eastAsia" w:ascii="宋体" w:hAnsi="宋体" w:eastAsia="宋体" w:cs="宋体"/>
                <w:bCs/>
                <w:sz w:val="21"/>
                <w:szCs w:val="21"/>
              </w:rPr>
              <w:t>主要岗位（群）或技术领域</w:t>
            </w:r>
          </w:p>
        </w:tc>
        <w:tc>
          <w:tcPr>
            <w:tcW w:w="3377" w:type="pct"/>
            <w:noWrap w:val="0"/>
            <w:vAlign w:val="center"/>
          </w:tcPr>
          <w:p>
            <w:pPr>
              <w:adjustRightInd w:val="0"/>
              <w:snapToGrid w:val="0"/>
              <w:spacing w:before="176" w:beforeLines="30" w:after="176" w:afterLines="30"/>
              <w:rPr>
                <w:rFonts w:hint="eastAsia" w:ascii="宋体" w:hAnsi="宋体" w:eastAsia="宋体" w:cs="宋体"/>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2" w:type="pct"/>
            <w:noWrap w:val="0"/>
            <w:vAlign w:val="center"/>
          </w:tcPr>
          <w:p>
            <w:pPr>
              <w:adjustRightInd w:val="0"/>
              <w:snapToGrid w:val="0"/>
              <w:spacing w:before="176" w:beforeLines="30" w:after="176" w:afterLines="30"/>
              <w:rPr>
                <w:rFonts w:hint="eastAsia" w:ascii="宋体" w:hAnsi="宋体" w:eastAsia="宋体" w:cs="宋体"/>
                <w:bCs/>
                <w:sz w:val="21"/>
                <w:szCs w:val="21"/>
              </w:rPr>
            </w:pPr>
            <w:r>
              <w:rPr>
                <w:rFonts w:hint="eastAsia" w:ascii="宋体" w:hAnsi="宋体" w:eastAsia="宋体" w:cs="宋体"/>
                <w:bCs/>
                <w:sz w:val="21"/>
                <w:szCs w:val="21"/>
              </w:rPr>
              <w:t>职业类证书</w:t>
            </w:r>
          </w:p>
        </w:tc>
        <w:tc>
          <w:tcPr>
            <w:tcW w:w="3377" w:type="pct"/>
            <w:noWrap w:val="0"/>
            <w:vAlign w:val="center"/>
          </w:tcPr>
          <w:p>
            <w:pPr>
              <w:adjustRightInd w:val="0"/>
              <w:snapToGrid w:val="0"/>
              <w:spacing w:before="176" w:beforeLines="30" w:after="176" w:afterLines="30"/>
              <w:rPr>
                <w:rFonts w:ascii="宋体" w:hAnsi="宋体" w:eastAsia="宋体" w:cs="宋体"/>
                <w:bCs/>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 培养目标（</w:t>
      </w:r>
      <w:r>
        <w:rPr>
          <w:rFonts w:hint="eastAsia"/>
          <w:b/>
          <w:bCs/>
          <w:color w:val="C00000"/>
          <w:sz w:val="24"/>
          <w:szCs w:val="24"/>
          <w:highlight w:val="yellow"/>
          <w:lang w:val="en-US" w:eastAsia="zh-CN"/>
        </w:rPr>
        <w:t>对照本专业或相关专业的国家教学标准，进行修订</w:t>
      </w:r>
      <w:r>
        <w:rPr>
          <w:rFonts w:hint="eastAsia" w:ascii="宋体" w:hAnsi="宋体" w:eastAsia="宋体" w:cs="宋体"/>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szCs w:val="24"/>
        </w:rPr>
      </w:pPr>
      <w:r>
        <w:rPr>
          <w:rFonts w:hint="eastAsia" w:ascii="宋体" w:hAnsi="宋体" w:eastAsia="宋体" w:cs="宋体"/>
          <w:sz w:val="24"/>
          <w:szCs w:val="24"/>
        </w:rPr>
        <w:t>本专业培养能够践行社会主义核心价值观，传承与创新技能文明，德智体美劳全面发展，具有较高的科学文化水平，良好的人文素养、科学素养、数字素养、职业道德，爱岗敬业的职业精神和精益求精的工匠精神，一定的国际视野，掌握较为系统的基础理论知识和技术技能，</w:t>
      </w:r>
      <w:r>
        <w:rPr>
          <w:rFonts w:hint="eastAsia" w:ascii="宋体" w:hAnsi="宋体" w:eastAsia="宋体" w:cs="宋体"/>
          <w:color w:val="auto"/>
          <w:sz w:val="24"/>
          <w:szCs w:val="24"/>
        </w:rPr>
        <w:t>具备一定</w:t>
      </w:r>
      <w:r>
        <w:rPr>
          <w:rFonts w:hint="eastAsia" w:ascii="宋体" w:hAnsi="宋体" w:eastAsia="宋体" w:cs="宋体"/>
          <w:color w:val="auto"/>
          <w:sz w:val="24"/>
          <w:szCs w:val="24"/>
          <w:lang w:val="en-US" w:eastAsia="zh-CN"/>
        </w:rPr>
        <w:t>的</w:t>
      </w:r>
      <w:r>
        <w:rPr>
          <w:rFonts w:hint="eastAsia" w:ascii="宋体" w:hAnsi="宋体" w:eastAsia="宋体" w:cs="宋体"/>
          <w:color w:val="FF0000"/>
          <w:sz w:val="24"/>
          <w:szCs w:val="24"/>
          <w:lang w:val="en-US" w:eastAsia="zh-CN"/>
        </w:rPr>
        <w:t>XXXX</w:t>
      </w:r>
      <w:r>
        <w:rPr>
          <w:rFonts w:hint="eastAsia" w:ascii="宋体" w:hAnsi="宋体" w:eastAsia="宋体" w:cs="宋体"/>
          <w:color w:val="auto"/>
          <w:sz w:val="24"/>
          <w:szCs w:val="24"/>
        </w:rPr>
        <w:t>，能够从事</w:t>
      </w:r>
      <w:r>
        <w:rPr>
          <w:rFonts w:hint="eastAsia" w:ascii="宋体" w:hAnsi="宋体" w:eastAsia="宋体" w:cs="宋体"/>
          <w:color w:val="FF0000"/>
          <w:sz w:val="24"/>
          <w:szCs w:val="24"/>
          <w:lang w:val="en-US" w:eastAsia="zh-CN"/>
        </w:rPr>
        <w:t>XXXX</w:t>
      </w:r>
      <w:r>
        <w:rPr>
          <w:rFonts w:hint="eastAsia" w:ascii="宋体" w:hAnsi="宋体" w:eastAsia="宋体" w:cs="宋体"/>
          <w:color w:val="auto"/>
          <w:sz w:val="24"/>
          <w:szCs w:val="24"/>
        </w:rPr>
        <w:t>，能够</w:t>
      </w:r>
      <w:r>
        <w:rPr>
          <w:rFonts w:hint="eastAsia" w:ascii="宋体" w:hAnsi="宋体" w:eastAsia="宋体" w:cs="宋体"/>
          <w:color w:val="FF0000"/>
          <w:sz w:val="24"/>
          <w:szCs w:val="24"/>
          <w:lang w:val="en-US" w:eastAsia="zh-CN"/>
        </w:rPr>
        <w:t>XXXX</w:t>
      </w:r>
      <w:r>
        <w:rPr>
          <w:rFonts w:hint="eastAsia" w:ascii="宋体" w:hAnsi="宋体" w:eastAsia="宋体" w:cs="宋体"/>
          <w:color w:val="auto"/>
          <w:sz w:val="24"/>
          <w:szCs w:val="24"/>
        </w:rPr>
        <w:t>，具有一定的创新能力，具有较强的就业创业能力和可持续发展能力，具备职业综合素质和行动能力，面向</w:t>
      </w:r>
      <w:r>
        <w:rPr>
          <w:rFonts w:hint="eastAsia" w:ascii="宋体" w:hAnsi="宋体" w:eastAsia="宋体" w:cs="宋体"/>
          <w:color w:val="FF0000"/>
          <w:sz w:val="24"/>
          <w:szCs w:val="24"/>
          <w:lang w:val="en-US" w:eastAsia="zh-CN"/>
        </w:rPr>
        <w:t>XXXX</w:t>
      </w:r>
      <w:r>
        <w:rPr>
          <w:rFonts w:hint="eastAsia" w:ascii="宋体" w:hAnsi="宋体" w:eastAsia="宋体" w:cs="宋体"/>
          <w:color w:val="auto"/>
          <w:sz w:val="24"/>
          <w:szCs w:val="24"/>
          <w:lang w:val="en-US" w:eastAsia="zh-CN"/>
        </w:rPr>
        <w:t>等职业</w:t>
      </w:r>
      <w:r>
        <w:rPr>
          <w:rFonts w:hint="eastAsia" w:ascii="宋体" w:hAnsi="宋体" w:eastAsia="宋体" w:cs="宋体"/>
          <w:color w:val="auto"/>
          <w:sz w:val="24"/>
          <w:szCs w:val="24"/>
        </w:rPr>
        <w:t>，能够从事</w:t>
      </w:r>
      <w:r>
        <w:rPr>
          <w:rFonts w:hint="eastAsia" w:ascii="宋体" w:hAnsi="宋体" w:eastAsia="宋体" w:cs="宋体"/>
          <w:color w:val="FF0000"/>
          <w:sz w:val="24"/>
          <w:szCs w:val="24"/>
          <w:lang w:val="en-US" w:eastAsia="zh-CN"/>
        </w:rPr>
        <w:t>XXXX</w:t>
      </w:r>
      <w:r>
        <w:rPr>
          <w:rFonts w:hint="eastAsia" w:ascii="宋体" w:hAnsi="宋体" w:eastAsia="宋体" w:cs="宋体"/>
          <w:color w:val="auto"/>
          <w:sz w:val="24"/>
          <w:szCs w:val="24"/>
        </w:rPr>
        <w:t>等工作的高端技能人才。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 培养规格</w:t>
      </w:r>
      <w:r>
        <w:rPr>
          <w:rFonts w:hint="eastAsia"/>
          <w:b/>
          <w:bCs/>
          <w:sz w:val="24"/>
          <w:szCs w:val="24"/>
          <w:lang w:eastAsia="zh-CN"/>
        </w:rPr>
        <w:t>（</w:t>
      </w:r>
      <w:r>
        <w:rPr>
          <w:rFonts w:hint="eastAsia"/>
          <w:b/>
          <w:bCs/>
          <w:color w:val="C00000"/>
          <w:sz w:val="24"/>
          <w:szCs w:val="24"/>
          <w:highlight w:val="yellow"/>
          <w:lang w:val="en-US" w:eastAsia="zh-CN"/>
        </w:rPr>
        <w:t>对照本专业或相关</w:t>
      </w:r>
      <w:bookmarkStart w:id="0" w:name="OLE_LINK2"/>
      <w:r>
        <w:rPr>
          <w:rFonts w:hint="eastAsia"/>
          <w:b/>
          <w:bCs/>
          <w:color w:val="C00000"/>
          <w:sz w:val="24"/>
          <w:szCs w:val="24"/>
          <w:highlight w:val="yellow"/>
          <w:lang w:val="en-US" w:eastAsia="zh-CN"/>
        </w:rPr>
        <w:t>专业的国家教学标准</w:t>
      </w:r>
      <w:bookmarkEnd w:id="0"/>
      <w:r>
        <w:rPr>
          <w:rFonts w:hint="eastAsia"/>
          <w:b/>
          <w:bCs/>
          <w:color w:val="C00000"/>
          <w:sz w:val="24"/>
          <w:szCs w:val="24"/>
          <w:highlight w:val="yellow"/>
          <w:lang w:val="en-US" w:eastAsia="zh-CN"/>
        </w:rPr>
        <w:t>，进行修订。注意：各专业培养规格的前4条与后4条一致，均按照专业国家教学标准的表述</w:t>
      </w:r>
      <w:r>
        <w:rPr>
          <w:rFonts w:hint="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本专业学生应在系统学习本专业知识并完成有关实习实训基础上，全面提升知识、能力、素质，掌握并实际运用岗位（群）需要的专业核心技术技能，实现德智体美劳全面发展，总体上须达到以下要求：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 坚决拥护中国共产党领导和中国特色社会主义制度，以习近平新时代中国特色社会主义思想为指导，践行社会主义核心价值观，具有坚定的理想信念、深厚的爱国情感和中华民族自豪感；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能够熟练掌握与本专业从事职业活动相关的国家法律、行业规定，掌握绿色生产、环境保护、安全防护、质量管理等相关知识与技能，了解相关产业文化，遵守职业道德准则和行为规范，具备社会责任感和担当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6.3掌握支撑本专业学习和可持续发展必备的科学、外语、数学、人文等文化基础知识，具有扎实的科学素养与人文素养，具备职业生涯规划能力；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6.4具有良好的语言表达能力、文字表达能力、沟通合作能力，具有较强的集体意识和团队合作能力，学习一门外语并结合专业加以运用；具有一定的国际视野和跨文化交流能力；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w:t>
      </w:r>
      <w:bookmarkStart w:id="1" w:name="OLE_LINK9"/>
      <w:r>
        <w:rPr>
          <w:rFonts w:hint="eastAsia" w:ascii="宋体" w:hAnsi="宋体" w:eastAsia="宋体" w:cs="宋体"/>
          <w:sz w:val="24"/>
          <w:szCs w:val="24"/>
          <w:lang w:val="en-US" w:eastAsia="zh-CN"/>
        </w:rPr>
        <w:t>..................</w:t>
      </w:r>
    </w:p>
    <w:bookmarkEnd w:id="1"/>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6.9 .................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en-US" w:eastAsia="zh-CN"/>
        </w:rPr>
        <w:t>6.11 .................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en-US" w:eastAsia="zh-CN"/>
        </w:rPr>
        <w:t>6.12</w:t>
      </w:r>
      <w:r>
        <w:rPr>
          <w:rFonts w:hint="eastAsia" w:ascii="宋体" w:hAnsi="宋体" w:eastAsia="宋体" w:cs="宋体"/>
          <w:sz w:val="24"/>
          <w:szCs w:val="24"/>
        </w:rPr>
        <w:t>具有探究学习、终身学习和可持续发展能力，能够适应新技术、新岗位的要求；具有批判性思维、创新思维、创业意识，具有较强的分析问题和解决问题的能力；</w:t>
      </w:r>
      <w:r>
        <w:rPr>
          <w:rFonts w:hint="default"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en-US" w:eastAsia="zh-CN"/>
        </w:rPr>
        <w:t>6.13</w:t>
      </w:r>
      <w:r>
        <w:rPr>
          <w:rFonts w:hint="eastAsia" w:ascii="宋体" w:hAnsi="宋体" w:eastAsia="宋体" w:cs="宋体"/>
          <w:sz w:val="24"/>
          <w:szCs w:val="24"/>
        </w:rPr>
        <w:t>掌握身体运动的基本知识和至少</w:t>
      </w:r>
      <w:r>
        <w:rPr>
          <w:rFonts w:hint="default" w:ascii="宋体" w:hAnsi="宋体" w:eastAsia="宋体" w:cs="宋体"/>
          <w:sz w:val="24"/>
          <w:szCs w:val="24"/>
        </w:rPr>
        <w:t>1</w:t>
      </w:r>
      <w:r>
        <w:rPr>
          <w:rFonts w:hint="eastAsia" w:ascii="宋体" w:hAnsi="宋体" w:eastAsia="宋体" w:cs="宋体"/>
          <w:sz w:val="24"/>
          <w:szCs w:val="24"/>
        </w:rPr>
        <w:t>项运动技能，达到国家大学生体质健康测试合格标准，养成良好的运动习惯、卫生习惯和行为习惯；具备一定的心理调适能力；</w:t>
      </w:r>
      <w:r>
        <w:rPr>
          <w:rFonts w:hint="default"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en-US" w:eastAsia="zh-CN"/>
        </w:rPr>
        <w:t>6.14</w:t>
      </w:r>
      <w:r>
        <w:rPr>
          <w:rFonts w:hint="eastAsia" w:ascii="宋体" w:hAnsi="宋体" w:eastAsia="宋体" w:cs="宋体"/>
          <w:sz w:val="24"/>
          <w:szCs w:val="24"/>
        </w:rPr>
        <w:t>掌握必备的美育知识，具有一定的文化修养、审美能力，形成至少</w:t>
      </w:r>
      <w:r>
        <w:rPr>
          <w:rFonts w:hint="default" w:ascii="宋体" w:hAnsi="宋体" w:eastAsia="宋体" w:cs="宋体"/>
          <w:sz w:val="24"/>
          <w:szCs w:val="24"/>
        </w:rPr>
        <w:t>1</w:t>
      </w:r>
      <w:r>
        <w:rPr>
          <w:rFonts w:hint="eastAsia" w:ascii="宋体" w:hAnsi="宋体" w:eastAsia="宋体" w:cs="宋体"/>
          <w:sz w:val="24"/>
          <w:szCs w:val="24"/>
        </w:rPr>
        <w:t>项艺术特长或爱好；</w:t>
      </w:r>
      <w:r>
        <w:rPr>
          <w:rFonts w:hint="default"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6.15</w:t>
      </w:r>
      <w:r>
        <w:rPr>
          <w:rFonts w:hint="eastAsia" w:ascii="宋体" w:hAnsi="宋体" w:eastAsia="宋体" w:cs="宋体"/>
          <w:sz w:val="24"/>
          <w:szCs w:val="24"/>
        </w:rPr>
        <w:t>树立正确的劳动观，尊重劳动，热爱劳动，具备与本专业职业发展相适应的劳动素养，弘扬劳模精神、劳动精神、工匠精神，弘扬劳动光荣、技能宝贵、创造伟大的时代风尚。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 课程设置与学分</w:t>
      </w:r>
    </w:p>
    <w:p>
      <w:pPr>
        <w:pStyle w:val="11"/>
        <w:bidi w:val="0"/>
        <w:spacing w:line="360" w:lineRule="auto"/>
        <w:ind w:firstLine="480" w:firstLineChars="200"/>
        <w:jc w:val="both"/>
        <w:rPr>
          <w:rFonts w:hint="eastAsia"/>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本专业</w:t>
      </w:r>
      <w:r>
        <w:rPr>
          <w:rFonts w:hint="eastAsia" w:cs="宋体"/>
          <w:color w:val="000000" w:themeColor="text1"/>
          <w:highlight w:val="none"/>
          <w:lang w:val="en-US" w:eastAsia="zh-CN"/>
          <w14:textFill>
            <w14:solidFill>
              <w14:schemeClr w14:val="tx1"/>
            </w14:solidFill>
          </w14:textFill>
        </w:rPr>
        <w:t>课程由公共基础课程、专业课程、</w:t>
      </w:r>
      <w:r>
        <w:rPr>
          <w:color w:val="000000" w:themeColor="text1"/>
          <w:sz w:val="24"/>
          <w:highlight w:val="none"/>
          <w14:textFill>
            <w14:solidFill>
              <w14:schemeClr w14:val="tx1"/>
            </w14:solidFill>
          </w14:textFill>
        </w:rPr>
        <w:t>实践</w:t>
      </w:r>
      <w:r>
        <w:rPr>
          <w:rFonts w:hint="eastAsia"/>
          <w:color w:val="000000" w:themeColor="text1"/>
          <w:sz w:val="24"/>
          <w:highlight w:val="none"/>
          <w14:textFill>
            <w14:solidFill>
              <w14:schemeClr w14:val="tx1"/>
            </w14:solidFill>
          </w14:textFill>
        </w:rPr>
        <w:t>性</w:t>
      </w:r>
      <w:r>
        <w:rPr>
          <w:color w:val="000000" w:themeColor="text1"/>
          <w:sz w:val="24"/>
          <w:highlight w:val="none"/>
          <w14:textFill>
            <w14:solidFill>
              <w14:schemeClr w14:val="tx1"/>
            </w14:solidFill>
          </w14:textFill>
        </w:rPr>
        <w:t>教学环</w:t>
      </w:r>
      <w:r>
        <w:rPr>
          <w:rFonts w:hint="eastAsia"/>
          <w:color w:val="000000" w:themeColor="text1"/>
          <w:sz w:val="24"/>
          <w:highlight w:val="none"/>
          <w14:textFill>
            <w14:solidFill>
              <w14:schemeClr w14:val="tx1"/>
            </w14:solidFill>
          </w14:textFill>
        </w:rPr>
        <w:t>节</w:t>
      </w:r>
      <w:r>
        <w:rPr>
          <w:rFonts w:hint="eastAsia"/>
          <w:color w:val="000000" w:themeColor="text1"/>
          <w:sz w:val="24"/>
          <w:highlight w:val="none"/>
          <w:lang w:val="en-US" w:eastAsia="zh-CN"/>
          <w14:textFill>
            <w14:solidFill>
              <w14:schemeClr w14:val="tx1"/>
            </w14:solidFill>
          </w14:textFill>
        </w:rPr>
        <w:t>三个板块组成。</w:t>
      </w:r>
    </w:p>
    <w:p>
      <w:pPr>
        <w:pStyle w:val="11"/>
        <w:bidi w:val="0"/>
        <w:spacing w:line="360" w:lineRule="auto"/>
        <w:ind w:firstLine="480" w:firstLineChars="200"/>
        <w:jc w:val="both"/>
        <w:rPr>
          <w:rFonts w:hint="eastAsia" w:ascii="宋体" w:hAnsi="宋体" w:eastAsia="宋体" w:cs="宋体"/>
          <w:b/>
          <w:bCs/>
          <w:sz w:val="28"/>
          <w:szCs w:val="28"/>
        </w:rPr>
      </w:pPr>
      <w:r>
        <w:rPr>
          <w:rFonts w:hint="eastAsia" w:cs="宋体"/>
          <w:color w:val="000000" w:themeColor="text1"/>
          <w:highlight w:val="none"/>
          <w:lang w:val="en-US" w:eastAsia="zh-CN"/>
          <w14:textFill>
            <w14:solidFill>
              <w14:schemeClr w14:val="tx1"/>
            </w14:solidFill>
          </w14:textFill>
        </w:rPr>
        <w:t>本专业</w:t>
      </w:r>
      <w:r>
        <w:rPr>
          <w:rFonts w:hint="eastAsia" w:ascii="宋体" w:hAnsi="宋体" w:eastAsia="宋体" w:cs="宋体"/>
          <w:color w:val="000000" w:themeColor="text1"/>
          <w:highlight w:val="none"/>
          <w14:textFill>
            <w14:solidFill>
              <w14:schemeClr w14:val="tx1"/>
            </w14:solidFill>
          </w14:textFill>
        </w:rPr>
        <w:t>设定</w:t>
      </w:r>
      <w:bookmarkStart w:id="2" w:name="OLE_LINK5"/>
      <w:r>
        <w:rPr>
          <w:rFonts w:hint="eastAsia" w:ascii="宋体" w:hAnsi="宋体" w:eastAsia="宋体" w:cs="宋体"/>
          <w:color w:val="000000" w:themeColor="text1"/>
          <w:highlight w:val="none"/>
          <w:lang w:val="en-US" w:eastAsia="zh-CN"/>
          <w14:textFill>
            <w14:solidFill>
              <w14:schemeClr w14:val="tx1"/>
            </w14:solidFill>
          </w14:textFill>
        </w:rPr>
        <w:t>xxxx</w:t>
      </w:r>
      <w:bookmarkEnd w:id="2"/>
      <w:r>
        <w:rPr>
          <w:rFonts w:hint="eastAsia" w:cs="宋体"/>
          <w:color w:val="000000" w:themeColor="text1"/>
          <w:highlight w:val="none"/>
          <w:lang w:val="en-US" w:eastAsia="zh-CN"/>
          <w14:textFill>
            <w14:solidFill>
              <w14:schemeClr w14:val="tx1"/>
            </w14:solidFill>
          </w14:textFill>
        </w:rPr>
        <w:t>总</w:t>
      </w:r>
      <w:r>
        <w:rPr>
          <w:rFonts w:hint="eastAsia" w:ascii="宋体" w:hAnsi="宋体" w:eastAsia="宋体" w:cs="宋体"/>
          <w:color w:val="000000" w:themeColor="text1"/>
          <w:highlight w:val="none"/>
          <w14:textFill>
            <w14:solidFill>
              <w14:schemeClr w14:val="tx1"/>
            </w14:solidFill>
          </w14:textFill>
        </w:rPr>
        <w:t>学时</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其中</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公共基础课程</w:t>
      </w:r>
      <w:r>
        <w:rPr>
          <w:rFonts w:hint="eastAsia" w:ascii="宋体" w:hAnsi="宋体" w:eastAsia="宋体" w:cs="宋体"/>
          <w:color w:val="000000" w:themeColor="text1"/>
          <w:highlight w:val="none"/>
          <w:lang w:val="en-US" w:eastAsia="zh-CN"/>
          <w14:textFill>
            <w14:solidFill>
              <w14:schemeClr w14:val="tx1"/>
            </w14:solidFill>
          </w14:textFill>
        </w:rPr>
        <w:t>xx</w:t>
      </w:r>
      <w:bookmarkStart w:id="3" w:name="OLE_LINK6"/>
      <w:r>
        <w:rPr>
          <w:rFonts w:hint="eastAsia" w:ascii="宋体" w:hAnsi="宋体" w:eastAsia="宋体" w:cs="宋体"/>
          <w:color w:val="000000" w:themeColor="text1"/>
          <w:highlight w:val="none"/>
          <w:lang w:val="en-US" w:eastAsia="zh-CN"/>
          <w14:textFill>
            <w14:solidFill>
              <w14:schemeClr w14:val="tx1"/>
            </w14:solidFill>
          </w14:textFill>
        </w:rPr>
        <w:t>xx</w:t>
      </w:r>
      <w:bookmarkEnd w:id="3"/>
      <w:r>
        <w:rPr>
          <w:rFonts w:hint="eastAsia" w:ascii="宋体" w:hAnsi="宋体" w:eastAsia="宋体" w:cs="宋体"/>
          <w:color w:val="000000" w:themeColor="text1"/>
          <w:highlight w:val="none"/>
          <w:lang w:val="en-US" w:eastAsia="zh-CN"/>
          <w14:textFill>
            <w14:solidFill>
              <w14:schemeClr w14:val="tx1"/>
            </w14:solidFill>
          </w14:textFill>
        </w:rPr>
        <w:t>学时，占</w:t>
      </w:r>
      <w:bookmarkStart w:id="4" w:name="OLE_LINK7"/>
      <w:r>
        <w:rPr>
          <w:rFonts w:hint="eastAsia" w:ascii="宋体" w:hAnsi="宋体" w:eastAsia="宋体" w:cs="宋体"/>
          <w:color w:val="000000" w:themeColor="text1"/>
          <w:highlight w:val="none"/>
          <w:lang w:val="en-US" w:eastAsia="zh-CN"/>
          <w14:textFill>
            <w14:solidFill>
              <w14:schemeClr w14:val="tx1"/>
            </w14:solidFill>
          </w14:textFill>
        </w:rPr>
        <w:t>总学时xx%；</w:t>
      </w:r>
      <w:bookmarkEnd w:id="4"/>
      <w:r>
        <w:rPr>
          <w:rFonts w:hint="eastAsia" w:ascii="宋体" w:hAnsi="宋体" w:eastAsia="宋体" w:cs="宋体"/>
          <w:color w:val="000000" w:themeColor="text1"/>
          <w:highlight w:val="none"/>
          <w:lang w:val="en-US" w:eastAsia="zh-CN"/>
          <w14:textFill>
            <w14:solidFill>
              <w14:schemeClr w14:val="tx1"/>
            </w14:solidFill>
          </w14:textFill>
        </w:rPr>
        <w:t>实践教学xxxx学时,占总学时xx%；选修课程xxx学时,占</w:t>
      </w:r>
      <w:bookmarkStart w:id="5" w:name="OLE_LINK8"/>
      <w:r>
        <w:rPr>
          <w:rFonts w:hint="eastAsia" w:ascii="宋体" w:hAnsi="宋体" w:eastAsia="宋体" w:cs="宋体"/>
          <w:color w:val="000000" w:themeColor="text1"/>
          <w:highlight w:val="none"/>
          <w:lang w:val="en-US" w:eastAsia="zh-CN"/>
          <w14:textFill>
            <w14:solidFill>
              <w14:schemeClr w14:val="tx1"/>
            </w14:solidFill>
          </w14:textFill>
        </w:rPr>
        <w:t>总学时</w:t>
      </w:r>
      <w:bookmarkEnd w:id="5"/>
      <w:r>
        <w:rPr>
          <w:rFonts w:hint="eastAsia" w:ascii="宋体" w:hAnsi="宋体" w:eastAsia="宋体" w:cs="宋体"/>
          <w:color w:val="000000" w:themeColor="text1"/>
          <w:highlight w:val="none"/>
          <w:lang w:val="en-US" w:eastAsia="zh-CN"/>
          <w14:textFill>
            <w14:solidFill>
              <w14:schemeClr w14:val="tx1"/>
            </w14:solidFill>
          </w14:textFill>
        </w:rPr>
        <w:t>的xx%</w:t>
      </w:r>
      <w:r>
        <w:rPr>
          <w:rFonts w:hint="eastAsia" w:ascii="宋体" w:hAnsi="宋体" w:eastAsia="宋体" w:cs="宋体"/>
          <w:color w:val="000000" w:themeColor="text1"/>
          <w:highlight w:val="none"/>
          <w14:textFill>
            <w14:solidFill>
              <w14:schemeClr w14:val="tx1"/>
            </w14:solidFill>
          </w14:textFill>
        </w:rPr>
        <w:t>。</w:t>
      </w:r>
    </w:p>
    <w:p>
      <w:pPr>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7.1 </w:t>
      </w:r>
      <w:r>
        <w:rPr>
          <w:rFonts w:hint="eastAsia" w:ascii="宋体" w:hAnsi="宋体" w:eastAsia="宋体" w:cs="宋体"/>
          <w:b/>
          <w:bCs/>
          <w:sz w:val="24"/>
          <w:szCs w:val="24"/>
        </w:rPr>
        <w:t>公共基础课</w:t>
      </w:r>
    </w:p>
    <w:p>
      <w:pPr>
        <w:pStyle w:val="11"/>
        <w:kinsoku/>
        <w:topLinePunct/>
        <w:autoSpaceDE/>
        <w:autoSpaceDN/>
        <w:spacing w:line="360" w:lineRule="auto"/>
        <w:ind w:firstLine="480" w:firstLineChars="200"/>
        <w:jc w:val="both"/>
        <w:rPr>
          <w:rFonts w:hint="eastAsia"/>
          <w:color w:val="000000" w:themeColor="text1"/>
          <w:lang w:eastAsia="zh-CN"/>
          <w14:textFill>
            <w14:solidFill>
              <w14:schemeClr w14:val="tx1"/>
            </w14:solidFill>
          </w14:textFill>
        </w:rPr>
      </w:pPr>
      <w:bookmarkStart w:id="6" w:name="OLE_LINK4"/>
      <w:bookmarkStart w:id="7" w:name="OLE_LINK1"/>
      <w:bookmarkStart w:id="8" w:name="OLE_LINK3"/>
      <w:r>
        <w:rPr>
          <w:rFonts w:hint="eastAsia"/>
          <w:color w:val="000000" w:themeColor="text1"/>
          <w:lang w:eastAsia="zh-CN"/>
          <w14:textFill>
            <w14:solidFill>
              <w14:schemeClr w14:val="tx1"/>
            </w14:solidFill>
          </w14:textFill>
        </w:rPr>
        <w:t>（1）公共基础必修课程：《</w:t>
      </w:r>
      <w:r>
        <w:rPr>
          <w:rFonts w:ascii="宋体" w:hAnsi="宋体" w:eastAsia="宋体" w:cs="宋体"/>
          <w:sz w:val="24"/>
          <w:szCs w:val="24"/>
        </w:rPr>
        <w:t>军事理论与军训</w:t>
      </w:r>
      <w:r>
        <w:rPr>
          <w:rFonts w:hint="eastAsia"/>
          <w:color w:val="000000" w:themeColor="text1"/>
          <w:lang w:eastAsia="zh-CN"/>
          <w14:textFill>
            <w14:solidFill>
              <w14:schemeClr w14:val="tx1"/>
            </w14:solidFill>
          </w14:textFill>
        </w:rPr>
        <w:t>》《形势与政策》《思想道德与法治》《中国近现代史纲要》《马克思主义基本原理》《毛泽东思想和中国特色社会主义理论体系概论》《习近平新时代中国特色社会主义思想概论》《高等数学》《大学英语》《体育与健康》《心理健康教育》《国家安全教育》《劳动教育》等公共基础必修课程。</w:t>
      </w:r>
      <w:r>
        <w:rPr>
          <w:rFonts w:hint="eastAsia"/>
          <w:color w:val="FF0000"/>
          <w:lang w:eastAsia="zh-CN"/>
        </w:rPr>
        <w:t>（说明：需要增加《大学物理》《</w:t>
      </w:r>
      <w:r>
        <w:rPr>
          <w:rFonts w:hint="eastAsia"/>
          <w:color w:val="FF0000"/>
          <w:lang w:val="en-US" w:eastAsia="zh-CN"/>
        </w:rPr>
        <w:t>线性代数</w:t>
      </w:r>
      <w:r>
        <w:rPr>
          <w:rFonts w:hint="eastAsia"/>
          <w:color w:val="FF0000"/>
          <w:lang w:eastAsia="zh-CN"/>
        </w:rPr>
        <w:t>》等课程作为公共必修课的，请列入）</w:t>
      </w:r>
    </w:p>
    <w:p>
      <w:pPr>
        <w:pStyle w:val="11"/>
        <w:kinsoku/>
        <w:topLinePunct/>
        <w:autoSpaceDE/>
        <w:autoSpaceDN/>
        <w:spacing w:line="360" w:lineRule="auto"/>
        <w:ind w:firstLine="480" w:firstLineChars="200"/>
        <w:jc w:val="both"/>
        <w:rPr>
          <w:rFonts w:hint="eastAsia"/>
          <w:b/>
          <w:bCs/>
          <w:sz w:val="28"/>
          <w:szCs w:val="28"/>
          <w:lang w:eastAsia="zh-CN"/>
        </w:rPr>
      </w:pPr>
      <w:r>
        <w:rPr>
          <w:rFonts w:hint="eastAsia"/>
          <w:color w:val="000000" w:themeColor="text1"/>
          <w:lang w:eastAsia="zh-CN"/>
          <w14:textFill>
            <w14:solidFill>
              <w14:schemeClr w14:val="tx1"/>
            </w14:solidFill>
          </w14:textFill>
        </w:rPr>
        <w:t>（2）公共基础选修课程：《大学语文》《职业生涯规划与就业指导》《创新创业指导》《大学信息技术》《人工智能应用基础》等5门限定选修课程，</w:t>
      </w:r>
      <w:r>
        <w:rPr>
          <w:rFonts w:hint="eastAsia"/>
          <w:color w:val="FF0000"/>
          <w:lang w:eastAsia="zh-CN"/>
        </w:rPr>
        <w:t>另外在公共艺术类、文化自信类、人文素质与科技素养类选修课程组中每个类型中任选1门程。</w:t>
      </w:r>
      <w:bookmarkEnd w:id="6"/>
      <w:bookmarkEnd w:id="7"/>
      <w:bookmarkEnd w:id="8"/>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7.2 专业课程</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bCs/>
          <w:sz w:val="28"/>
          <w:szCs w:val="28"/>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14:ligatures w14:val="standardContextual"/>
        </w:rPr>
        <w:t>包括专业基础课程、专业核心课程、专业拓展课程。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napToGrid w:val="0"/>
          <w:color w:val="FF0000"/>
          <w:kern w:val="0"/>
          <w:sz w:val="24"/>
          <w:szCs w:val="24"/>
          <w:highlight w:val="none"/>
          <w:lang w:val="en-US" w:eastAsia="zh-CN" w:bidi="ar-SA"/>
          <w14:ligatures w14:val="standardContextua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14:ligatures w14:val="standardContextual"/>
        </w:rPr>
        <w:t>（1）专业基础课程：列出所有课程</w:t>
      </w:r>
      <w:r>
        <w:rPr>
          <w:rFonts w:hint="eastAsia" w:ascii="宋体" w:hAnsi="宋体" w:eastAsia="宋体" w:cs="宋体"/>
          <w:snapToGrid w:val="0"/>
          <w:color w:val="FF0000"/>
          <w:kern w:val="0"/>
          <w:sz w:val="24"/>
          <w:szCs w:val="24"/>
          <w:highlight w:val="none"/>
          <w:lang w:val="en-US" w:eastAsia="zh-CN" w:bidi="ar-SA"/>
          <w14:ligatures w14:val="standardContextual"/>
        </w:rPr>
        <w:t xml:space="preserve">（经济学学科门类、财经商贸大类专业增补习近平经济思想概论，鼓励其他专业作为选修课程）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14:ligatures w14:val="standardContextua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14:ligatures w14:val="standardContextual"/>
        </w:rPr>
        <w:t>（2）专业核心课程：列出所有课程</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color w:val="000000" w:themeColor="text1"/>
          <w:sz w:val="21"/>
          <w:szCs w:val="21"/>
          <w14:textFill>
            <w14:solidFill>
              <w14:schemeClr w14:val="tx1"/>
            </w14:solidFill>
          </w14:textFill>
        </w:rPr>
      </w:pPr>
      <w:bookmarkStart w:id="9" w:name="OLE_LINK14"/>
      <w:r>
        <w:rPr>
          <w:rFonts w:hint="eastAsia" w:ascii="宋体" w:hAnsi="宋体" w:eastAsia="宋体" w:cs="宋体"/>
          <w:b/>
          <w:bCs/>
          <w:color w:val="000000" w:themeColor="text1"/>
          <w:sz w:val="21"/>
          <w:szCs w:val="21"/>
          <w14:textFill>
            <w14:solidFill>
              <w14:schemeClr w14:val="tx1"/>
            </w14:solidFill>
          </w14:textFill>
        </w:rPr>
        <w:t>专业核心课程主要教学内容与要求一览表</w:t>
      </w:r>
      <w:bookmarkEnd w:id="9"/>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80" w:type="dxa"/>
          <w:bottom w:w="102" w:type="dxa"/>
          <w:right w:w="80" w:type="dxa"/>
        </w:tblCellMar>
      </w:tblPr>
      <w:tblGrid>
        <w:gridCol w:w="475"/>
        <w:gridCol w:w="754"/>
        <w:gridCol w:w="1972"/>
        <w:gridCol w:w="5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80" w:type="dxa"/>
            <w:bottom w:w="102" w:type="dxa"/>
            <w:right w:w="80" w:type="dxa"/>
          </w:tblCellMar>
        </w:tblPrEx>
        <w:trPr>
          <w:jc w:val="center"/>
        </w:trPr>
        <w:tc>
          <w:tcPr>
            <w:tcW w:w="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4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课程名称</w:t>
            </w:r>
          </w:p>
        </w:tc>
        <w:tc>
          <w:tcPr>
            <w:tcW w:w="11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典型工作任务描述</w:t>
            </w:r>
          </w:p>
        </w:tc>
        <w:tc>
          <w:tcPr>
            <w:tcW w:w="312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bookmarkStart w:id="10" w:name="OLE_LINK11"/>
            <w:r>
              <w:rPr>
                <w:rFonts w:hint="eastAsia" w:ascii="宋体" w:hAnsi="宋体" w:eastAsia="宋体" w:cs="宋体"/>
                <w:sz w:val="21"/>
                <w:szCs w:val="21"/>
              </w:rPr>
              <w:t>主要教学内容与要求</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80" w:type="dxa"/>
            <w:bottom w:w="102" w:type="dxa"/>
            <w:right w:w="80" w:type="dxa"/>
          </w:tblCellMar>
        </w:tblPrEx>
        <w:trPr>
          <w:trHeight w:val="417" w:hRule="atLeast"/>
          <w:jc w:val="center"/>
        </w:trPr>
        <w:tc>
          <w:tcPr>
            <w:tcW w:w="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p>
        </w:tc>
        <w:tc>
          <w:tcPr>
            <w:tcW w:w="11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sz w:val="21"/>
                <w:szCs w:val="21"/>
              </w:rPr>
            </w:pPr>
          </w:p>
        </w:tc>
        <w:tc>
          <w:tcPr>
            <w:tcW w:w="312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80" w:type="dxa"/>
            <w:bottom w:w="102" w:type="dxa"/>
            <w:right w:w="80" w:type="dxa"/>
          </w:tblCellMar>
        </w:tblPrEx>
        <w:trPr>
          <w:trHeight w:val="564" w:hRule="atLeast"/>
          <w:jc w:val="center"/>
        </w:trPr>
        <w:tc>
          <w:tcPr>
            <w:tcW w:w="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4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p>
        </w:tc>
        <w:tc>
          <w:tcPr>
            <w:tcW w:w="11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yellow"/>
              </w:rPr>
            </w:pPr>
          </w:p>
        </w:tc>
        <w:tc>
          <w:tcPr>
            <w:tcW w:w="312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21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4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1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312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14:ligatures w14:val="standardContextua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14:ligatures w14:val="standardContextual"/>
        </w:rPr>
        <w:t>（3）专业拓展课程：列出所有课程</w:t>
      </w: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7.3 实践性教学环节</w:t>
      </w:r>
    </w:p>
    <w:p>
      <w:pPr>
        <w:adjustRightInd w:val="0"/>
        <w:snapToGrid w:val="0"/>
        <w:spacing w:line="360" w:lineRule="auto"/>
        <w:ind w:firstLine="480" w:firstLineChars="200"/>
        <w:jc w:val="left"/>
        <w:rPr>
          <w:rFonts w:hint="eastAsia" w:ascii="宋体" w:hAnsi="宋体" w:eastAsia="宋体" w:cs="宋体"/>
          <w:snapToGrid/>
          <w:color w:val="000000"/>
          <w:kern w:val="2"/>
          <w:sz w:val="24"/>
          <w:szCs w:val="24"/>
          <w:lang w:val="en-US" w:eastAsia="zh-CN" w:bidi="ar-SA"/>
          <w14:ligatures w14:val="standardContextual"/>
        </w:rPr>
      </w:pPr>
      <w:r>
        <w:rPr>
          <w:rFonts w:hint="eastAsia" w:ascii="宋体" w:hAnsi="宋体" w:eastAsia="宋体" w:cs="宋体"/>
          <w:snapToGrid/>
          <w:color w:val="000000"/>
          <w:kern w:val="2"/>
          <w:sz w:val="24"/>
          <w:szCs w:val="24"/>
          <w:lang w:val="en-US" w:eastAsia="zh-CN" w:bidi="ar-SA"/>
          <w14:ligatures w14:val="standardContextual"/>
        </w:rPr>
        <w:t>实践性教学主要包括实验、实训、实习、毕业设计、社会实践等形式，涵盖公共基础课程和专业课程的实践环节。</w:t>
      </w:r>
    </w:p>
    <w:p>
      <w:pPr>
        <w:adjustRightInd w:val="0"/>
        <w:snapToGrid w:val="0"/>
        <w:spacing w:line="360" w:lineRule="auto"/>
        <w:ind w:firstLine="480" w:firstLineChars="200"/>
        <w:jc w:val="left"/>
        <w:rPr>
          <w:rFonts w:hint="eastAsia" w:ascii="宋体" w:hAnsi="宋体" w:eastAsia="宋体" w:cs="宋体"/>
          <w:snapToGrid/>
          <w:color w:val="000000"/>
          <w:kern w:val="2"/>
          <w:sz w:val="24"/>
          <w:szCs w:val="24"/>
          <w:lang w:val="en-US" w:eastAsia="zh-CN" w:bidi="ar-SA"/>
          <w14:ligatures w14:val="standardContextual"/>
        </w:rPr>
      </w:pPr>
      <w:r>
        <w:rPr>
          <w:rFonts w:hint="eastAsia" w:ascii="宋体" w:hAnsi="宋体" w:eastAsia="宋体" w:cs="宋体"/>
          <w:snapToGrid/>
          <w:color w:val="000000"/>
          <w:kern w:val="2"/>
          <w:sz w:val="24"/>
          <w:szCs w:val="24"/>
          <w:lang w:val="en-US" w:eastAsia="zh-CN" w:bidi="ar-SA"/>
          <w14:ligatures w14:val="standardContextual"/>
        </w:rPr>
        <w:t>（1）认识实习2周，专业实训不少于4周、岗位实习不少于6个月。</w:t>
      </w:r>
    </w:p>
    <w:p>
      <w:pPr>
        <w:adjustRightInd w:val="0"/>
        <w:snapToGrid w:val="0"/>
        <w:spacing w:line="360" w:lineRule="auto"/>
        <w:ind w:firstLine="480" w:firstLineChars="200"/>
        <w:jc w:val="left"/>
        <w:rPr>
          <w:rFonts w:hint="eastAsia" w:ascii="宋体" w:hAnsi="宋体" w:eastAsia="宋体" w:cs="宋体"/>
          <w:snapToGrid/>
          <w:color w:val="000000"/>
          <w:kern w:val="2"/>
          <w:sz w:val="24"/>
          <w:szCs w:val="24"/>
          <w:lang w:val="en-US" w:eastAsia="zh-CN" w:bidi="ar-SA"/>
          <w14:ligatures w14:val="standardContextual"/>
        </w:rPr>
      </w:pPr>
      <w:r>
        <w:rPr>
          <w:rFonts w:hint="eastAsia" w:ascii="宋体" w:hAnsi="宋体" w:eastAsia="宋体" w:cs="宋体"/>
          <w:snapToGrid/>
          <w:color w:val="000000"/>
          <w:kern w:val="2"/>
          <w:sz w:val="24"/>
          <w:szCs w:val="24"/>
          <w:lang w:val="en-US" w:eastAsia="zh-CN" w:bidi="ar-SA"/>
          <w14:ligatures w14:val="standardContextual"/>
        </w:rPr>
        <w:t>（2）军训、社会实践、入学教育、毕业教育等活动按 1 周为 1 个学分。</w:t>
      </w:r>
    </w:p>
    <w:p>
      <w:pPr>
        <w:adjustRightInd w:val="0"/>
        <w:snapToGrid w:val="0"/>
        <w:spacing w:line="360" w:lineRule="auto"/>
        <w:ind w:firstLine="480" w:firstLineChars="200"/>
        <w:jc w:val="left"/>
        <w:rPr>
          <w:rFonts w:hint="eastAsia" w:ascii="宋体" w:hAnsi="宋体" w:eastAsia="宋体" w:cs="宋体"/>
          <w:snapToGrid/>
          <w:color w:val="000000"/>
          <w:kern w:val="2"/>
          <w:sz w:val="24"/>
          <w:szCs w:val="24"/>
          <w:lang w:val="en-US" w:eastAsia="zh-CN" w:bidi="ar-SA"/>
          <w14:ligatures w14:val="standardContextual"/>
        </w:rPr>
      </w:pPr>
      <w:r>
        <w:rPr>
          <w:rFonts w:hint="eastAsia" w:ascii="宋体" w:hAnsi="宋体" w:eastAsia="宋体" w:cs="宋体"/>
          <w:snapToGrid/>
          <w:color w:val="000000"/>
          <w:kern w:val="2"/>
          <w:sz w:val="24"/>
          <w:szCs w:val="24"/>
          <w:lang w:val="en-US" w:eastAsia="zh-CN" w:bidi="ar-SA"/>
          <w14:ligatures w14:val="standardContextual"/>
        </w:rPr>
        <w:t>（3）职业资格证书、职业技能等级证书与学分替代方案如下表所示。</w:t>
      </w:r>
    </w:p>
    <w:tbl>
      <w:tblPr>
        <w:tblStyle w:val="15"/>
        <w:tblW w:w="5000" w:type="pct"/>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62"/>
        <w:gridCol w:w="2953"/>
        <w:gridCol w:w="1064"/>
        <w:gridCol w:w="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89"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center"/>
              <w:rPr>
                <w:rFonts w:ascii="宋体" w:hAnsi="宋体" w:eastAsia="宋体"/>
                <w:sz w:val="21"/>
                <w:szCs w:val="21"/>
              </w:rPr>
            </w:pPr>
            <w:r>
              <w:rPr>
                <w:rFonts w:hint="eastAsia" w:ascii="宋体" w:hAnsi="宋体" w:eastAsia="宋体"/>
                <w:sz w:val="21"/>
                <w:szCs w:val="21"/>
              </w:rPr>
              <w:t>证书名称</w:t>
            </w:r>
          </w:p>
        </w:tc>
        <w:tc>
          <w:tcPr>
            <w:tcW w:w="1732"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center"/>
              <w:rPr>
                <w:rFonts w:ascii="宋体" w:hAnsi="宋体" w:eastAsia="宋体"/>
                <w:sz w:val="21"/>
                <w:szCs w:val="21"/>
              </w:rPr>
            </w:pPr>
            <w:r>
              <w:rPr>
                <w:rFonts w:hint="eastAsia" w:ascii="宋体" w:hAnsi="宋体" w:eastAsia="宋体"/>
                <w:sz w:val="21"/>
                <w:szCs w:val="21"/>
              </w:rPr>
              <w:t>替代课程</w:t>
            </w:r>
          </w:p>
        </w:tc>
        <w:tc>
          <w:tcPr>
            <w:tcW w:w="624"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center"/>
              <w:rPr>
                <w:rFonts w:ascii="宋体" w:hAnsi="宋体" w:eastAsia="宋体"/>
                <w:sz w:val="21"/>
                <w:szCs w:val="21"/>
              </w:rPr>
            </w:pPr>
            <w:r>
              <w:rPr>
                <w:rFonts w:hint="eastAsia" w:ascii="宋体" w:hAnsi="宋体" w:eastAsia="宋体"/>
                <w:sz w:val="21"/>
                <w:szCs w:val="21"/>
              </w:rPr>
              <w:t>学时</w:t>
            </w:r>
          </w:p>
        </w:tc>
        <w:tc>
          <w:tcPr>
            <w:tcW w:w="553"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center"/>
              <w:rPr>
                <w:rFonts w:ascii="宋体" w:hAnsi="宋体" w:eastAsia="宋体"/>
                <w:sz w:val="21"/>
                <w:szCs w:val="21"/>
              </w:rPr>
            </w:pPr>
            <w:r>
              <w:rPr>
                <w:rFonts w:hint="eastAsia" w:ascii="宋体" w:hAnsi="宋体" w:eastAsia="宋体"/>
                <w:sz w:val="21"/>
                <w:szCs w:val="21"/>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9"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left"/>
              <w:rPr>
                <w:rFonts w:ascii="宋体" w:hAnsi="宋体" w:eastAsia="宋体"/>
                <w:sz w:val="21"/>
                <w:szCs w:val="21"/>
              </w:rPr>
            </w:pPr>
          </w:p>
        </w:tc>
        <w:tc>
          <w:tcPr>
            <w:tcW w:w="1732"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rPr>
                <w:rFonts w:ascii="宋体" w:hAnsi="宋体" w:eastAsia="宋体"/>
                <w:sz w:val="21"/>
                <w:szCs w:val="21"/>
              </w:rPr>
            </w:pPr>
          </w:p>
        </w:tc>
        <w:tc>
          <w:tcPr>
            <w:tcW w:w="624"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center"/>
              <w:rPr>
                <w:rFonts w:hint="eastAsia" w:ascii="宋体" w:hAnsi="宋体" w:eastAsia="宋体"/>
                <w:sz w:val="21"/>
                <w:szCs w:val="21"/>
              </w:rPr>
            </w:pPr>
          </w:p>
        </w:tc>
        <w:tc>
          <w:tcPr>
            <w:tcW w:w="553"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cente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9"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left"/>
              <w:rPr>
                <w:rFonts w:hint="eastAsia" w:ascii="宋体" w:hAnsi="宋体" w:eastAsia="宋体"/>
                <w:sz w:val="21"/>
                <w:szCs w:val="21"/>
              </w:rPr>
            </w:pPr>
          </w:p>
        </w:tc>
        <w:tc>
          <w:tcPr>
            <w:tcW w:w="1732"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rPr>
                <w:rFonts w:ascii="宋体" w:hAnsi="宋体" w:eastAsia="宋体"/>
                <w:sz w:val="21"/>
                <w:szCs w:val="21"/>
              </w:rPr>
            </w:pPr>
          </w:p>
        </w:tc>
        <w:tc>
          <w:tcPr>
            <w:tcW w:w="624"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center"/>
              <w:rPr>
                <w:rFonts w:hint="eastAsia" w:ascii="宋体" w:hAnsi="宋体" w:eastAsia="宋体"/>
                <w:sz w:val="21"/>
                <w:szCs w:val="21"/>
              </w:rPr>
            </w:pPr>
          </w:p>
        </w:tc>
        <w:tc>
          <w:tcPr>
            <w:tcW w:w="553" w:type="pct"/>
            <w:noWrap w:val="0"/>
            <w:vAlign w:val="top"/>
          </w:tcPr>
          <w:p>
            <w:pPr>
              <w:keepNext w:val="0"/>
              <w:keepLines w:val="0"/>
              <w:pageBreakBefore w:val="0"/>
              <w:wordWrap/>
              <w:overflowPunct/>
              <w:topLinePunct w:val="0"/>
              <w:bidi w:val="0"/>
              <w:adjustRightInd w:val="0"/>
              <w:snapToGrid w:val="0"/>
              <w:spacing w:before="58" w:beforeLines="10" w:after="58" w:afterLines="10" w:line="360" w:lineRule="auto"/>
              <w:jc w:val="center"/>
              <w:rPr>
                <w:rFonts w:ascii="宋体" w:hAnsi="宋体" w:eastAsia="宋体"/>
                <w:sz w:val="21"/>
                <w:szCs w:val="21"/>
              </w:rPr>
            </w:pPr>
          </w:p>
        </w:tc>
      </w:tr>
    </w:tbl>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color w:val="000000"/>
          <w:kern w:val="2"/>
          <w:sz w:val="24"/>
          <w:szCs w:val="24"/>
          <w:lang w:val="en-US" w:eastAsia="zh-CN" w:bidi="ar-SA"/>
          <w14:ligatures w14:val="standardContextual"/>
        </w:rPr>
      </w:pPr>
      <w:r>
        <w:rPr>
          <w:rFonts w:hint="eastAsia" w:ascii="宋体" w:hAnsi="宋体" w:eastAsia="宋体" w:cs="宋体"/>
          <w:snapToGrid/>
          <w:color w:val="000000"/>
          <w:kern w:val="2"/>
          <w:sz w:val="24"/>
          <w:szCs w:val="24"/>
          <w:lang w:val="en-US" w:eastAsia="zh-CN" w:bidi="ar-SA"/>
          <w14:ligatures w14:val="standardContextual"/>
        </w:rPr>
        <w:t>（4）《职业技能等级证书考试实训》列入集中性实践教学环节，</w:t>
      </w:r>
      <w:r>
        <w:rPr>
          <w:rFonts w:hint="eastAsia" w:cs="宋体"/>
          <w:snapToGrid/>
          <w:color w:val="000000"/>
          <w:kern w:val="2"/>
          <w:sz w:val="24"/>
          <w:szCs w:val="24"/>
          <w:lang w:val="en-US" w:eastAsia="zh-CN" w:bidi="ar-SA"/>
          <w14:ligatures w14:val="standardContextual"/>
        </w:rPr>
        <w:t>若有2个及以上职业</w:t>
      </w:r>
      <w:r>
        <w:rPr>
          <w:rFonts w:hint="eastAsia" w:ascii="宋体" w:hAnsi="宋体" w:eastAsia="宋体" w:cs="宋体"/>
          <w:snapToGrid/>
          <w:color w:val="000000"/>
          <w:kern w:val="2"/>
          <w:sz w:val="24"/>
          <w:szCs w:val="24"/>
          <w:lang w:val="en-US" w:eastAsia="zh-CN" w:bidi="ar-SA"/>
          <w14:ligatures w14:val="standardContextual"/>
        </w:rPr>
        <w:t>技能等级证书考试实训</w:t>
      </w:r>
      <w:r>
        <w:rPr>
          <w:rFonts w:hint="eastAsia" w:cs="宋体"/>
          <w:snapToGrid/>
          <w:color w:val="000000"/>
          <w:kern w:val="2"/>
          <w:sz w:val="24"/>
          <w:szCs w:val="24"/>
          <w:lang w:val="en-US" w:eastAsia="zh-CN" w:bidi="ar-SA"/>
          <w14:ligatures w14:val="standardContextual"/>
        </w:rPr>
        <w:t>的</w:t>
      </w:r>
      <w:r>
        <w:rPr>
          <w:rFonts w:hint="eastAsia" w:ascii="宋体" w:hAnsi="宋体" w:eastAsia="宋体" w:cs="宋体"/>
          <w:snapToGrid/>
          <w:color w:val="000000"/>
          <w:kern w:val="2"/>
          <w:sz w:val="24"/>
          <w:szCs w:val="24"/>
          <w:lang w:val="en-US" w:eastAsia="zh-CN" w:bidi="ar-SA"/>
          <w14:ligatures w14:val="standardContextual"/>
        </w:rPr>
        <w:t>原则上分两个学期开设。</w:t>
      </w:r>
    </w:p>
    <w:p>
      <w:pPr>
        <w:pStyle w:val="11"/>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color w:val="000000"/>
          <w:kern w:val="2"/>
          <w:sz w:val="24"/>
          <w:szCs w:val="24"/>
          <w:lang w:val="en-US" w:eastAsia="zh-CN" w:bidi="ar-SA"/>
          <w14:ligatures w14:val="standardContextual"/>
        </w:rPr>
      </w:pPr>
      <w:r>
        <w:rPr>
          <w:rFonts w:hint="eastAsia" w:ascii="宋体" w:hAnsi="宋体" w:eastAsia="宋体" w:cs="宋体"/>
          <w:snapToGrid/>
          <w:color w:val="000000"/>
          <w:kern w:val="2"/>
          <w:sz w:val="24"/>
          <w:szCs w:val="24"/>
          <w:lang w:val="en-US" w:eastAsia="zh-CN" w:bidi="ar-SA"/>
          <w14:ligatures w14:val="standardContextual"/>
        </w:rPr>
        <w:t>（5）毕业设计（论文）应当结合专业与行业需求，优先选用来自企业的课题，占比不小于80%。鼓励学生在教师指导下通过企业实践等途径自主选择课题，鼓励学生在企业完成毕业设计课题，毕业设计形式可以是调研报告、案例分析、工艺改进、产品设计、项目策划、技术创新或专利研发，艺术作品设计等，毕业设计以“产品+总结报告”形式提交。</w:t>
      </w: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7.4 理论与实践教学的学时、学分统计表</w:t>
      </w:r>
    </w:p>
    <w:tbl>
      <w:tblPr>
        <w:tblStyle w:val="16"/>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0" w:type="dxa"/>
          <w:right w:w="108" w:type="dxa"/>
        </w:tblCellMar>
      </w:tblPr>
      <w:tblGrid>
        <w:gridCol w:w="1636"/>
        <w:gridCol w:w="1702"/>
        <w:gridCol w:w="1056"/>
        <w:gridCol w:w="1417"/>
        <w:gridCol w:w="1276"/>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3338" w:type="dxa"/>
            <w:gridSpan w:val="2"/>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课程类别</w:t>
            </w:r>
          </w:p>
        </w:tc>
        <w:tc>
          <w:tcPr>
            <w:tcW w:w="1056" w:type="dxa"/>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课程性质</w:t>
            </w:r>
          </w:p>
        </w:tc>
        <w:tc>
          <w:tcPr>
            <w:tcW w:w="2693" w:type="dxa"/>
            <w:gridSpan w:val="2"/>
            <w:vAlign w:val="center"/>
          </w:tcPr>
          <w:p>
            <w:pPr>
              <w:tabs>
                <w:tab w:val="center" w:pos="1298"/>
                <w:tab w:val="right" w:pos="2477"/>
              </w:tabs>
              <w:topLinePunct/>
              <w:adjustRightInd w:val="0"/>
              <w:snapToGrid w:val="0"/>
              <w:spacing w:before="31" w:beforeLines="10" w:after="31" w:afterLines="10" w:line="276" w:lineRule="auto"/>
              <w:jc w:val="left"/>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ab/>
            </w:r>
            <w:r>
              <w:rPr>
                <w:rFonts w:hint="eastAsia" w:ascii="宋体" w:hAnsi="宋体" w:eastAsia="宋体" w:cs="宋体"/>
                <w:snapToGrid/>
                <w:color w:val="000000"/>
                <w:kern w:val="2"/>
                <w:sz w:val="21"/>
                <w:szCs w:val="21"/>
                <w:lang w:val="en-US" w:eastAsia="zh-CN" w:bidi="ar-SA"/>
                <w14:ligatures w14:val="standardContextual"/>
              </w:rPr>
              <w:t>课程学时分配（学时）</w:t>
            </w:r>
            <w:r>
              <w:rPr>
                <w:rFonts w:hint="eastAsia" w:ascii="宋体" w:hAnsi="宋体" w:eastAsia="宋体" w:cs="宋体"/>
                <w:snapToGrid/>
                <w:color w:val="000000"/>
                <w:kern w:val="2"/>
                <w:sz w:val="21"/>
                <w:szCs w:val="21"/>
                <w:lang w:val="en-US" w:eastAsia="zh-CN" w:bidi="ar-SA"/>
                <w14:ligatures w14:val="standardContextual"/>
              </w:rPr>
              <w:tab/>
            </w:r>
          </w:p>
          <w:p>
            <w:pPr>
              <w:topLinePunct/>
              <w:adjustRightInd w:val="0"/>
              <w:snapToGrid w:val="0"/>
              <w:spacing w:before="31" w:beforeLines="10" w:after="31" w:afterLines="10" w:line="276"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（学时/学分）</w:t>
            </w:r>
          </w:p>
        </w:tc>
        <w:tc>
          <w:tcPr>
            <w:tcW w:w="1449" w:type="dxa"/>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3338" w:type="dxa"/>
            <w:gridSpan w:val="2"/>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056" w:type="dxa"/>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417"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理论</w:t>
            </w:r>
          </w:p>
        </w:tc>
        <w:tc>
          <w:tcPr>
            <w:tcW w:w="127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实践</w:t>
            </w:r>
          </w:p>
        </w:tc>
        <w:tc>
          <w:tcPr>
            <w:tcW w:w="1449" w:type="dxa"/>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1636" w:type="dxa"/>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公共基础课程</w:t>
            </w:r>
          </w:p>
        </w:tc>
        <w:tc>
          <w:tcPr>
            <w:tcW w:w="1702"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公共基础课</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必修</w:t>
            </w:r>
          </w:p>
        </w:tc>
        <w:tc>
          <w:tcPr>
            <w:tcW w:w="1417"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1636" w:type="dxa"/>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702"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公共基础课</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选修</w:t>
            </w:r>
          </w:p>
        </w:tc>
        <w:tc>
          <w:tcPr>
            <w:tcW w:w="1417"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1636" w:type="dxa"/>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专业课程</w:t>
            </w:r>
          </w:p>
        </w:tc>
        <w:tc>
          <w:tcPr>
            <w:tcW w:w="1702"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专业基础课</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必修</w:t>
            </w:r>
          </w:p>
        </w:tc>
        <w:tc>
          <w:tcPr>
            <w:tcW w:w="1417"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1636" w:type="dxa"/>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702"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专业核心课</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必修</w:t>
            </w:r>
          </w:p>
        </w:tc>
        <w:tc>
          <w:tcPr>
            <w:tcW w:w="1417"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default"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1636" w:type="dxa"/>
            <w:vMerge w:val="continue"/>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702"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专业拓展课</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选修</w:t>
            </w:r>
          </w:p>
        </w:tc>
        <w:tc>
          <w:tcPr>
            <w:tcW w:w="1417"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54" w:hRule="exact"/>
          <w:jc w:val="center"/>
        </w:trPr>
        <w:tc>
          <w:tcPr>
            <w:tcW w:w="3338" w:type="dxa"/>
            <w:gridSpan w:val="2"/>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集中实践性教学环节课程</w:t>
            </w:r>
          </w:p>
        </w:tc>
        <w:tc>
          <w:tcPr>
            <w:tcW w:w="105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必修</w:t>
            </w:r>
          </w:p>
        </w:tc>
        <w:tc>
          <w:tcPr>
            <w:tcW w:w="1417"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539" w:hRule="exact"/>
          <w:jc w:val="center"/>
        </w:trPr>
        <w:tc>
          <w:tcPr>
            <w:tcW w:w="1636" w:type="dxa"/>
            <w:vMerge w:val="restart"/>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小计</w:t>
            </w:r>
          </w:p>
        </w:tc>
        <w:tc>
          <w:tcPr>
            <w:tcW w:w="2758" w:type="dxa"/>
            <w:gridSpan w:val="2"/>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学时</w:t>
            </w:r>
          </w:p>
        </w:tc>
        <w:tc>
          <w:tcPr>
            <w:tcW w:w="1417"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499" w:hRule="exact"/>
          <w:jc w:val="center"/>
        </w:trPr>
        <w:tc>
          <w:tcPr>
            <w:tcW w:w="1636" w:type="dxa"/>
            <w:vMerge w:val="continue"/>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p>
        </w:tc>
        <w:tc>
          <w:tcPr>
            <w:tcW w:w="2758" w:type="dxa"/>
            <w:gridSpan w:val="2"/>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占比</w:t>
            </w:r>
          </w:p>
        </w:tc>
        <w:tc>
          <w:tcPr>
            <w:tcW w:w="1417" w:type="dxa"/>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p>
        </w:tc>
        <w:tc>
          <w:tcPr>
            <w:tcW w:w="1276" w:type="dxa"/>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0" w:type="dxa"/>
            <w:right w:w="108" w:type="dxa"/>
          </w:tblCellMar>
        </w:tblPrEx>
        <w:trPr>
          <w:trHeight w:val="584" w:hRule="exact"/>
          <w:jc w:val="center"/>
        </w:trPr>
        <w:tc>
          <w:tcPr>
            <w:tcW w:w="4394" w:type="dxa"/>
            <w:gridSpan w:val="3"/>
            <w:vAlign w:val="center"/>
          </w:tcPr>
          <w:p>
            <w:pPr>
              <w:topLinePunct/>
              <w:adjustRightInd w:val="0"/>
              <w:snapToGrid w:val="0"/>
              <w:spacing w:before="31" w:beforeLines="10" w:after="31" w:afterLines="10" w:line="360" w:lineRule="auto"/>
              <w:jc w:val="center"/>
              <w:rPr>
                <w:rFonts w:hint="eastAsia" w:ascii="宋体" w:hAnsi="宋体" w:eastAsia="宋体" w:cs="宋体"/>
                <w:snapToGrid/>
                <w:color w:val="000000"/>
                <w:kern w:val="2"/>
                <w:sz w:val="21"/>
                <w:szCs w:val="21"/>
                <w:lang w:val="en-US" w:eastAsia="zh-CN" w:bidi="ar-SA"/>
                <w14:ligatures w14:val="standardContextual"/>
              </w:rPr>
            </w:pPr>
            <w:r>
              <w:rPr>
                <w:rFonts w:hint="eastAsia" w:ascii="宋体" w:hAnsi="宋体" w:eastAsia="宋体" w:cs="宋体"/>
                <w:snapToGrid/>
                <w:color w:val="000000"/>
                <w:kern w:val="2"/>
                <w:sz w:val="21"/>
                <w:szCs w:val="21"/>
                <w:lang w:val="en-US" w:eastAsia="zh-CN" w:bidi="ar-SA"/>
                <w14:ligatures w14:val="standardContextual"/>
              </w:rPr>
              <w:t>总学时/学分</w:t>
            </w:r>
          </w:p>
        </w:tc>
        <w:tc>
          <w:tcPr>
            <w:tcW w:w="2693" w:type="dxa"/>
            <w:gridSpan w:val="2"/>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p>
        </w:tc>
        <w:tc>
          <w:tcPr>
            <w:tcW w:w="1449" w:type="dxa"/>
            <w:vAlign w:val="center"/>
          </w:tcPr>
          <w:p>
            <w:pPr>
              <w:topLinePunct/>
              <w:jc w:val="center"/>
              <w:rPr>
                <w:rFonts w:hint="eastAsia" w:ascii="宋体" w:hAnsi="宋体" w:eastAsia="宋体" w:cs="宋体"/>
                <w:snapToGrid/>
                <w:color w:val="000000"/>
                <w:kern w:val="2"/>
                <w:sz w:val="21"/>
                <w:szCs w:val="21"/>
                <w:lang w:val="en-US" w:eastAsia="zh-CN" w:bidi="ar-SA"/>
                <w14:ligatures w14:val="standardContextual"/>
              </w:rPr>
            </w:pPr>
          </w:p>
        </w:tc>
      </w:tr>
    </w:tbl>
    <w:p>
      <w:pPr>
        <w:rPr>
          <w:rFonts w:hint="eastAsia" w:ascii="宋体" w:hAnsi="宋体" w:eastAsia="宋体" w:cs="宋体"/>
          <w:b/>
          <w:bCs/>
          <w:sz w:val="28"/>
          <w:szCs w:val="28"/>
        </w:rPr>
      </w:pPr>
      <w:r>
        <w:rPr>
          <w:rFonts w:hint="eastAsia" w:ascii="宋体" w:hAnsi="宋体" w:eastAsia="宋体" w:cs="宋体"/>
          <w:b/>
          <w:bCs/>
          <w:sz w:val="28"/>
          <w:szCs w:val="28"/>
        </w:rPr>
        <w:t>8</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教学计划进度安排</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snapToGrid/>
          <w:color w:val="000000"/>
          <w:kern w:val="2"/>
          <w:sz w:val="24"/>
          <w:szCs w:val="24"/>
          <w:lang w:val="en-US" w:eastAsia="zh-CN" w:bidi="ar-SA"/>
          <w14:ligatures w14:val="standardContextual"/>
        </w:rPr>
      </w:pPr>
      <w:r>
        <w:rPr>
          <w:rFonts w:hint="eastAsia" w:ascii="宋体" w:hAnsi="宋体" w:eastAsia="宋体" w:cs="宋体"/>
          <w:snapToGrid/>
          <w:color w:val="000000"/>
          <w:kern w:val="2"/>
          <w:sz w:val="24"/>
          <w:szCs w:val="24"/>
          <w:lang w:val="en-US" w:eastAsia="zh-CN" w:bidi="ar-SA"/>
          <w14:ligatures w14:val="standardContextual"/>
        </w:rPr>
        <w:t>教学进程表见附件1。</w:t>
      </w:r>
    </w:p>
    <w:p>
      <w:pPr>
        <w:keepNext w:val="0"/>
        <w:keepLines w:val="0"/>
        <w:pageBreakBefore w:val="0"/>
        <w:widowControl w:val="0"/>
        <w:kinsoku/>
        <w:wordWrap/>
        <w:overflowPunct/>
        <w:topLinePunct w:val="0"/>
        <w:autoSpaceDE/>
        <w:autoSpaceDN/>
        <w:bidi w:val="0"/>
        <w:adjustRightInd w:val="0"/>
        <w:snapToGrid w:val="0"/>
        <w:spacing w:before="157" w:beforeLines="50" w:after="63" w:afterLines="20"/>
        <w:jc w:val="both"/>
        <w:textAlignment w:val="auto"/>
        <w:rPr>
          <w:rFonts w:ascii="Times New Roman" w:hAnsi="Times New Roman" w:eastAsia="宋体" w:cs="Times New Roman"/>
          <w:b/>
          <w:bCs/>
          <w:snapToGrid/>
          <w:color w:val="auto"/>
          <w:kern w:val="2"/>
          <w:sz w:val="28"/>
          <w:szCs w:val="28"/>
          <w:lang w:eastAsia="zh-CN"/>
        </w:rPr>
      </w:pPr>
      <w:r>
        <w:rPr>
          <w:rFonts w:ascii="Times New Roman" w:hAnsi="Times New Roman" w:eastAsia="宋体" w:cs="Times New Roman"/>
          <w:b/>
          <w:bCs/>
          <w:snapToGrid/>
          <w:color w:val="auto"/>
          <w:kern w:val="2"/>
          <w:sz w:val="28"/>
          <w:szCs w:val="28"/>
          <w:lang w:eastAsia="zh-CN"/>
        </w:rPr>
        <w:t>9</w:t>
      </w:r>
      <w:r>
        <w:rPr>
          <w:rFonts w:hint="eastAsia" w:ascii="Times New Roman" w:hAnsi="Times New Roman" w:eastAsia="宋体" w:cs="Times New Roman"/>
          <w:b/>
          <w:bCs/>
          <w:snapToGrid/>
          <w:color w:val="auto"/>
          <w:kern w:val="2"/>
          <w:sz w:val="28"/>
          <w:szCs w:val="28"/>
          <w:lang w:eastAsia="zh-CN"/>
        </w:rPr>
        <w:t xml:space="preserve"> </w:t>
      </w:r>
      <w:r>
        <w:rPr>
          <w:rFonts w:ascii="Times New Roman" w:hAnsi="Times New Roman" w:eastAsia="宋体" w:cs="Times New Roman"/>
          <w:b/>
          <w:bCs/>
          <w:snapToGrid/>
          <w:color w:val="auto"/>
          <w:kern w:val="2"/>
          <w:sz w:val="28"/>
          <w:szCs w:val="28"/>
          <w:lang w:eastAsia="zh-CN"/>
        </w:rPr>
        <w:t>实施保障</w:t>
      </w:r>
    </w:p>
    <w:p>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9.1 师资队伍</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（1）队伍结构</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本专业学生数与本专业教师数比例为</w:t>
      </w:r>
      <w:r>
        <w:rPr>
          <w:rFonts w:hint="eastAsia" w:ascii="Times New Roman" w:hAnsi="Times New Roman" w:eastAsia="宋体" w:cs="Times New Roman"/>
          <w:sz w:val="24"/>
          <w:szCs w:val="24"/>
          <w:lang w:val="en-US" w:eastAsia="zh-CN"/>
        </w:rPr>
        <w:t>不高于20：1</w:t>
      </w:r>
      <w:r>
        <w:rPr>
          <w:rFonts w:hint="default" w:ascii="Times New Roman" w:hAnsi="Times New Roman" w:eastAsia="宋体" w:cs="Times New Roman"/>
          <w:sz w:val="24"/>
          <w:szCs w:val="24"/>
        </w:rPr>
        <w:t>。专任教师中，“双师型”教师占比为</w:t>
      </w:r>
      <w:r>
        <w:rPr>
          <w:rFonts w:hint="eastAsia" w:ascii="Times New Roman" w:hAnsi="Times New Roman" w:eastAsia="宋体" w:cs="Times New Roman"/>
          <w:sz w:val="24"/>
          <w:szCs w:val="24"/>
          <w:lang w:val="en-US" w:eastAsia="zh-CN"/>
        </w:rPr>
        <w:t>不低于50%</w:t>
      </w:r>
      <w:r>
        <w:rPr>
          <w:rFonts w:hint="default" w:ascii="Times New Roman" w:hAnsi="Times New Roman" w:eastAsia="宋体" w:cs="Times New Roman"/>
          <w:sz w:val="24"/>
          <w:szCs w:val="24"/>
        </w:rPr>
        <w:t>，高级职称专任教师的比例为</w:t>
      </w:r>
      <w:r>
        <w:rPr>
          <w:rFonts w:hint="eastAsia" w:ascii="Times New Roman" w:hAnsi="Times New Roman" w:eastAsia="宋体" w:cs="Times New Roman"/>
          <w:sz w:val="24"/>
          <w:szCs w:val="24"/>
          <w:lang w:val="en-US" w:eastAsia="zh-CN"/>
        </w:rPr>
        <w:t>不低于30%</w:t>
      </w:r>
      <w:r>
        <w:rPr>
          <w:rFonts w:hint="default" w:ascii="Times New Roman" w:hAnsi="Times New Roman" w:eastAsia="宋体" w:cs="Times New Roman"/>
          <w:sz w:val="24"/>
          <w:szCs w:val="24"/>
        </w:rPr>
        <w:t>，具有研究生学位专任教师的比例为</w:t>
      </w:r>
      <w:r>
        <w:rPr>
          <w:rFonts w:hint="eastAsia" w:ascii="Times New Roman" w:hAnsi="Times New Roman" w:eastAsia="宋体" w:cs="Times New Roman"/>
          <w:sz w:val="24"/>
          <w:szCs w:val="24"/>
          <w:lang w:val="en-US" w:eastAsia="zh-CN"/>
        </w:rPr>
        <w:t>不低于50%</w:t>
      </w:r>
      <w:r>
        <w:rPr>
          <w:rFonts w:hint="default" w:ascii="Times New Roman" w:hAnsi="Times New Roman" w:eastAsia="宋体" w:cs="Times New Roman"/>
          <w:sz w:val="24"/>
          <w:szCs w:val="24"/>
        </w:rPr>
        <w:t>，具有博士研究生学位专任教师的比例为</w:t>
      </w:r>
      <w:r>
        <w:rPr>
          <w:rFonts w:hint="eastAsia" w:ascii="Times New Roman" w:hAnsi="Times New Roman" w:eastAsia="宋体" w:cs="Times New Roman"/>
          <w:sz w:val="24"/>
          <w:szCs w:val="24"/>
          <w:lang w:val="en-US" w:eastAsia="zh-CN"/>
        </w:rPr>
        <w:t>不低于15</w:t>
      </w:r>
      <w:r>
        <w:rPr>
          <w:rFonts w:hint="default" w:ascii="Times New Roman" w:hAnsi="Times New Roman" w:eastAsia="宋体" w:cs="Times New Roman"/>
          <w:sz w:val="24"/>
          <w:szCs w:val="24"/>
        </w:rPr>
        <w:t>%，教师队伍的职称、年龄等结构较为合理。</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本专业选聘</w:t>
      </w:r>
      <w:r>
        <w:rPr>
          <w:rFonts w:hint="eastAsia" w:ascii="Times New Roman" w:hAnsi="Times New Roman" w:eastAsia="宋体" w:cs="Times New Roman"/>
          <w:sz w:val="24"/>
          <w:szCs w:val="24"/>
          <w:lang w:val="en-US" w:eastAsia="zh-CN"/>
        </w:rPr>
        <w:t>XX</w:t>
      </w:r>
      <w:r>
        <w:rPr>
          <w:rFonts w:hint="default" w:ascii="Times New Roman" w:hAnsi="Times New Roman" w:eastAsia="宋体" w:cs="Times New Roman"/>
          <w:sz w:val="24"/>
          <w:szCs w:val="24"/>
        </w:rPr>
        <w:t>名企业高级技术人员担任产业导师，组建了校企合作、专兼结合 的教师团队，建立了定期开展专业教研机制</w:t>
      </w:r>
      <w:r>
        <w:rPr>
          <w:rFonts w:hint="default" w:ascii="Times New Roman" w:hAnsi="Times New Roman"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eastAsia="zh-CN"/>
        </w:rPr>
        <w:t>）专任教师任职资格及专业能力要求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default" w:ascii="宋体" w:hAnsi="宋体" w:eastAsia="宋体" w:cs="宋体"/>
          <w:color w:val="auto"/>
          <w:sz w:val="24"/>
          <w:szCs w:val="24"/>
        </w:rPr>
        <w:t>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具有高校教师资格证和本专业领域相关职业资格证书。</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default" w:ascii="宋体" w:hAnsi="宋体" w:eastAsia="宋体" w:cs="宋体"/>
          <w:color w:val="auto"/>
          <w:sz w:val="24"/>
          <w:szCs w:val="24"/>
        </w:rPr>
        <w:t>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有理想信念、有道德情操、有扎实学识、有仁爱之心，能够落实课程思政要求，挖掘专业课程中的思政教育元素和资源。</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default" w:ascii="宋体" w:hAnsi="宋体" w:eastAsia="宋体" w:cs="宋体"/>
          <w:color w:val="auto"/>
          <w:sz w:val="24"/>
          <w:szCs w:val="24"/>
        </w:rPr>
        <w:t>③</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具有</w:t>
      </w:r>
      <w:r>
        <w:rPr>
          <w:rFonts w:hint="eastAsia" w:ascii="宋体" w:hAnsi="宋体" w:cs="宋体"/>
          <w:color w:val="auto"/>
          <w:sz w:val="24"/>
          <w:szCs w:val="24"/>
          <w:lang w:val="en-US" w:eastAsia="zh-CN"/>
        </w:rPr>
        <w:t>XXX、XXX</w:t>
      </w:r>
      <w:r>
        <w:rPr>
          <w:rFonts w:hint="eastAsia" w:ascii="宋体" w:hAnsi="宋体" w:eastAsia="宋体" w:cs="宋体"/>
          <w:color w:val="auto"/>
          <w:sz w:val="24"/>
          <w:szCs w:val="24"/>
        </w:rPr>
        <w:t>等相关专业本科及以上学历，具有</w:t>
      </w:r>
      <w:r>
        <w:rPr>
          <w:rFonts w:hint="eastAsia" w:ascii="宋体" w:hAnsi="宋体" w:cs="宋体"/>
          <w:color w:val="auto"/>
          <w:sz w:val="24"/>
          <w:szCs w:val="24"/>
          <w:lang w:val="en-US" w:eastAsia="zh-CN"/>
        </w:rPr>
        <w:t>XXX</w:t>
      </w:r>
      <w:r>
        <w:rPr>
          <w:rFonts w:hint="eastAsia" w:ascii="宋体" w:hAnsi="宋体" w:eastAsia="宋体" w:cs="宋体"/>
          <w:color w:val="auto"/>
          <w:sz w:val="24"/>
          <w:szCs w:val="24"/>
        </w:rPr>
        <w:t>专业理论和实践能力，具有一定年限的相应工作经历或者实践经验，达到相应的技术技能水平。具有独立开展</w:t>
      </w:r>
      <w:r>
        <w:rPr>
          <w:rFonts w:hint="eastAsia" w:ascii="宋体" w:hAnsi="宋体" w:cs="宋体"/>
          <w:color w:val="auto"/>
          <w:sz w:val="24"/>
          <w:szCs w:val="24"/>
          <w:lang w:val="en-US" w:eastAsia="zh-CN"/>
        </w:rPr>
        <w:t>XXX</w:t>
      </w:r>
      <w:r>
        <w:rPr>
          <w:rFonts w:hint="eastAsia" w:ascii="宋体" w:hAnsi="宋体" w:eastAsia="宋体" w:cs="宋体"/>
          <w:color w:val="auto"/>
          <w:sz w:val="24"/>
          <w:szCs w:val="24"/>
        </w:rPr>
        <w:t>专业的相关实训教学。</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能够运用信息技术开展混合式教学等教法改革，能够开展课程教学改革和科学研究。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s="Times New Roman"/>
          <w:color w:val="auto"/>
          <w:sz w:val="24"/>
          <w:szCs w:val="24"/>
          <w:lang w:eastAsia="zh-CN"/>
        </w:rPr>
      </w:pPr>
      <w:r>
        <w:rPr>
          <w:rFonts w:hint="eastAsia" w:ascii="宋体" w:hAnsi="宋体" w:eastAsia="宋体" w:cs="宋体"/>
          <w:color w:val="auto"/>
          <w:sz w:val="24"/>
          <w:szCs w:val="24"/>
        </w:rPr>
        <w:t>⑤</w:t>
      </w:r>
      <w:r>
        <w:rPr>
          <w:rFonts w:hint="eastAsia" w:ascii="宋体" w:hAnsi="宋体" w:eastAsia="宋体" w:cs="宋体"/>
          <w:color w:val="auto"/>
          <w:sz w:val="24"/>
          <w:szCs w:val="24"/>
          <w:lang w:val="en-US" w:eastAsia="zh-CN"/>
        </w:rPr>
        <w:t xml:space="preserve"> </w:t>
      </w:r>
      <w:r>
        <w:rPr>
          <w:rFonts w:ascii="宋体" w:hAnsi="宋体" w:eastAsia="宋体" w:cs="宋体"/>
          <w:sz w:val="24"/>
          <w:szCs w:val="24"/>
        </w:rPr>
        <w:t>专业教师每年至少1个月在企业或生产性实训基地锻炼，每5年累计不少于6个月的企业实践经历</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兼职教师任职资格及水平（技术）要求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rPr>
        <w:t>①</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主要从本专业相关行业企业的高技能人才中聘任，具备良好的思想政治素质、职业道德和工匠精神。</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rPr>
        <w:t>②</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具有扎实的专业知识和丰富的实际工作经验，具有中级及以上专业技术职务（职称）或高级工及以上职业技能等级。</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rPr>
        <w:t>③</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能承担专业课程教学、实习、实训指导和学生职业发展规划指导等教学任务。</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color w:val="auto"/>
          <w:sz w:val="24"/>
          <w:szCs w:val="24"/>
        </w:rPr>
      </w:pPr>
      <w:r>
        <w:rPr>
          <w:rFonts w:hint="eastAsia" w:ascii="宋体" w:hAnsi="宋体" w:eastAsia="宋体" w:cs="宋体"/>
          <w:color w:val="auto"/>
          <w:sz w:val="24"/>
          <w:szCs w:val="24"/>
        </w:rPr>
        <w:t>④</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具有5年以上的工作经验，根据需要可以聘请技能大师、劳动模范、能工巧匠等高技能人才，根据国家有关要求，制定针对兼职教师聘任与管理的具体实施办法。</w:t>
      </w:r>
    </w:p>
    <w:p>
      <w:pPr>
        <w:keepNext w:val="0"/>
        <w:keepLines w:val="0"/>
        <w:pageBreakBefore w:val="0"/>
        <w:widowControl w:val="0"/>
        <w:kinsoku/>
        <w:wordWrap/>
        <w:overflowPunct/>
        <w:topLinePunct w:val="0"/>
        <w:autoSpaceDE/>
        <w:autoSpaceDN/>
        <w:bidi w:val="0"/>
        <w:adjustRightInd w:val="0"/>
        <w:snapToGrid w:val="0"/>
        <w:spacing w:before="120" w:beforeLines="20"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9.2 教学条件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（1）教学设施</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能够满足正常的课程教学、实习实训所需的专业教</w:t>
      </w:r>
      <w:r>
        <w:rPr>
          <w:rFonts w:hint="eastAsia" w:cs="Times New Roman"/>
          <w:color w:val="auto"/>
          <w:sz w:val="24"/>
          <w:szCs w:val="24"/>
          <w:lang w:val="en-US" w:eastAsia="zh-CN"/>
        </w:rPr>
        <w:t>堂</w:t>
      </w:r>
      <w:r>
        <w:rPr>
          <w:rFonts w:hint="default" w:ascii="Times New Roman" w:hAnsi="Times New Roman" w:eastAsia="宋体" w:cs="Times New Roman"/>
          <w:color w:val="auto"/>
          <w:sz w:val="24"/>
          <w:szCs w:val="24"/>
        </w:rPr>
        <w:t>、实验室、实训室和实训实习基地。</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default" w:ascii="宋体" w:hAnsi="宋体" w:eastAsia="宋体" w:cs="宋体"/>
          <w:color w:val="auto"/>
          <w:sz w:val="24"/>
          <w:szCs w:val="24"/>
        </w:rPr>
        <w:t>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专业教室：</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XXXX</w:t>
      </w:r>
      <w:r>
        <w:rPr>
          <w:rFonts w:hint="default" w:ascii="Times New Roman" w:hAnsi="Times New Roman" w:eastAsia="宋体" w:cs="Times New Roman"/>
          <w:color w:val="auto"/>
          <w:sz w:val="24"/>
          <w:szCs w:val="24"/>
        </w:rPr>
        <w:t>专业要有完备的教学设施，充分发挥现代信息技术在专业教室中的作用，提升教育质量。信息化技术应覆盖学生学习的专业教室，学生日常上课应使用多媒体教室，教室均配备网络覆盖的多媒体教学一体机和智慧黑板等现代技术设备，实现数字资源共享，提高教学效率。</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专业教室一般都配备黑（白）板、多媒体计算机、投影设备、音响设备，互联网接入或WIFI环境，并具有网络安全防护系统。安装了应急照明装置并保持良好状态，符合紧急疏散要求，标志明显，保持逃生通道畅通无阻。</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default" w:ascii="宋体" w:hAnsi="宋体" w:eastAsia="宋体" w:cs="宋体"/>
          <w:color w:val="auto"/>
          <w:sz w:val="24"/>
          <w:szCs w:val="24"/>
        </w:rPr>
        <w:t>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校内</w:t>
      </w:r>
      <w:r>
        <w:rPr>
          <w:rFonts w:hint="eastAsia" w:ascii="宋体" w:hAnsi="宋体" w:cs="宋体"/>
          <w:color w:val="auto"/>
          <w:sz w:val="24"/>
          <w:szCs w:val="24"/>
          <w:lang w:val="en-US" w:eastAsia="zh-CN"/>
        </w:rPr>
        <w:t>实训室</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s="Times New Roman"/>
          <w:color w:val="auto"/>
          <w:sz w:val="24"/>
          <w:szCs w:val="24"/>
          <w:lang w:eastAsia="zh-CN"/>
        </w:rPr>
      </w:pPr>
      <w:r>
        <w:rPr>
          <w:rFonts w:hint="default" w:ascii="Times New Roman" w:hAnsi="Times New Roman" w:eastAsia="宋体" w:cs="Times New Roman"/>
          <w:color w:val="auto"/>
          <w:sz w:val="24"/>
          <w:szCs w:val="24"/>
        </w:rPr>
        <w:t>本专业拥有</w:t>
      </w:r>
      <w:r>
        <w:rPr>
          <w:rFonts w:hint="eastAsia" w:cs="Times New Roman"/>
          <w:color w:val="auto"/>
          <w:sz w:val="24"/>
          <w:szCs w:val="24"/>
          <w:lang w:val="en-US" w:eastAsia="zh-CN"/>
        </w:rPr>
        <w:t>XX</w:t>
      </w:r>
      <w:r>
        <w:rPr>
          <w:rFonts w:hint="default" w:ascii="Times New Roman" w:hAnsi="Times New Roman" w:eastAsia="宋体" w:cs="Times New Roman"/>
          <w:color w:val="auto"/>
          <w:sz w:val="24"/>
          <w:szCs w:val="24"/>
        </w:rPr>
        <w:t>个校内实训室，能较好地满足专业实践教学需求。实训室仪器设备数量充足，管理制度完备</w:t>
      </w:r>
      <w:r>
        <w:rPr>
          <w:rFonts w:hint="eastAsia"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before="179" w:beforeLines="30" w:line="360" w:lineRule="auto"/>
        <w:ind w:firstLine="422" w:firstLineChars="200"/>
        <w:jc w:val="center"/>
        <w:textAlignment w:val="auto"/>
        <w:rPr>
          <w:rFonts w:hint="default" w:ascii="宋体" w:hAnsi="宋体" w:eastAsia="宋体" w:cs="宋体"/>
          <w:b/>
          <w:bCs/>
          <w:sz w:val="21"/>
          <w:szCs w:val="21"/>
        </w:rPr>
      </w:pPr>
      <w:r>
        <w:rPr>
          <w:rFonts w:hint="default" w:ascii="宋体" w:hAnsi="宋体" w:eastAsia="宋体" w:cs="宋体"/>
          <w:b/>
          <w:bCs/>
          <w:sz w:val="21"/>
          <w:szCs w:val="21"/>
        </w:rPr>
        <w:t>校内实训室信息</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302"/>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序号</w:t>
            </w:r>
          </w:p>
        </w:tc>
        <w:tc>
          <w:tcPr>
            <w:tcW w:w="2444"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实训室名称</w:t>
            </w: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主要设备名称</w:t>
            </w: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工位数</w:t>
            </w: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面向课程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2444"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2444"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c>
          <w:tcPr>
            <w:tcW w:w="1801" w:type="dxa"/>
          </w:tcPr>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center"/>
              <w:textAlignment w:val="auto"/>
              <w:rPr>
                <w:rFonts w:hint="eastAsia" w:ascii="宋体" w:hAnsi="宋体" w:eastAsia="宋体" w:cs="宋体"/>
                <w:b w:val="0"/>
                <w:bCs w:val="0"/>
                <w:sz w:val="21"/>
                <w:szCs w:val="21"/>
                <w:vertAlign w:val="baseline"/>
                <w:lang w:eastAsia="zh-CN"/>
              </w:rPr>
            </w:pPr>
          </w:p>
        </w:tc>
      </w:tr>
    </w:tbl>
    <w:p>
      <w:pPr>
        <w:keepNext w:val="0"/>
        <w:keepLines w:val="0"/>
        <w:pageBreakBefore w:val="0"/>
        <w:widowControl w:val="0"/>
        <w:kinsoku/>
        <w:wordWrap/>
        <w:overflowPunct/>
        <w:topLinePunct w:val="0"/>
        <w:autoSpaceDE/>
        <w:autoSpaceDN/>
        <w:bidi w:val="0"/>
        <w:adjustRightInd w:val="0"/>
        <w:snapToGrid w:val="0"/>
        <w:spacing w:before="179" w:beforeLines="30" w:line="360" w:lineRule="auto"/>
        <w:jc w:val="both"/>
        <w:textAlignment w:val="auto"/>
        <w:rPr>
          <w:rFonts w:hint="eastAsia" w:ascii="宋体" w:hAnsi="宋体" w:eastAsia="宋体" w:cs="宋体"/>
          <w:b w:val="0"/>
          <w:bCs w:val="0"/>
          <w:sz w:val="21"/>
          <w:szCs w:val="21"/>
          <w:lang w:eastAsia="zh-CN"/>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0000FF"/>
          <w:sz w:val="24"/>
          <w:szCs w:val="24"/>
        </w:rPr>
      </w:pPr>
      <w:r>
        <w:rPr>
          <w:rFonts w:hint="default" w:ascii="宋体" w:hAnsi="宋体" w:eastAsia="宋体" w:cs="宋体"/>
          <w:color w:val="auto"/>
          <w:sz w:val="24"/>
          <w:szCs w:val="24"/>
        </w:rPr>
        <w:t>③</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校外</w:t>
      </w:r>
      <w:r>
        <w:rPr>
          <w:rFonts w:hint="eastAsia" w:ascii="宋体" w:hAnsi="宋体" w:eastAsia="宋体" w:cs="宋体"/>
          <w:color w:val="auto"/>
          <w:sz w:val="24"/>
          <w:szCs w:val="24"/>
        </w:rPr>
        <w:t>实习基地：本专业所建实习场所（基地），符合《职业学校学生实习管理规定》</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《职业学校校企合作促进办法》等对实习单位的有关要求。</w:t>
      </w:r>
    </w:p>
    <w:p>
      <w:pPr>
        <w:keepNext w:val="0"/>
        <w:keepLines w:val="0"/>
        <w:pageBreakBefore w:val="0"/>
        <w:widowControl w:val="0"/>
        <w:kinsoku/>
        <w:wordWrap/>
        <w:overflowPunct/>
        <w:topLinePunct w:val="0"/>
        <w:autoSpaceDE/>
        <w:autoSpaceDN/>
        <w:bidi w:val="0"/>
        <w:adjustRightInd w:val="0"/>
        <w:snapToGrid w:val="0"/>
        <w:spacing w:before="179" w:beforeLines="30" w:line="360" w:lineRule="auto"/>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校外</w:t>
      </w:r>
      <w:r>
        <w:rPr>
          <w:rFonts w:hint="eastAsia" w:ascii="宋体" w:hAnsi="宋体" w:eastAsia="宋体" w:cs="宋体"/>
          <w:b/>
          <w:bCs/>
          <w:sz w:val="21"/>
          <w:szCs w:val="21"/>
        </w:rPr>
        <w:t>实习场所（基地）一览表</w:t>
      </w:r>
    </w:p>
    <w:tbl>
      <w:tblPr>
        <w:tblStyle w:val="16"/>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6" w:type="dxa"/>
          <w:left w:w="52" w:type="dxa"/>
          <w:bottom w:w="86" w:type="dxa"/>
          <w:right w:w="52" w:type="dxa"/>
        </w:tblCellMar>
      </w:tblPr>
      <w:tblGrid>
        <w:gridCol w:w="713"/>
        <w:gridCol w:w="2547"/>
        <w:gridCol w:w="1265"/>
        <w:gridCol w:w="1671"/>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序号</w:t>
            </w: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实习场所（基地）名称</w:t>
            </w: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所属行业</w:t>
            </w: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企业规模（人）</w:t>
            </w: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rPr>
              <w:t>每年</w:t>
            </w:r>
            <w:r>
              <w:rPr>
                <w:rFonts w:hint="default" w:ascii="Times New Roman" w:hAnsi="Times New Roman" w:eastAsia="宋体" w:cs="Times New Roman"/>
                <w:sz w:val="21"/>
                <w:szCs w:val="21"/>
                <w:lang w:val="en-US" w:eastAsia="zh-CN"/>
              </w:rPr>
              <w:t>可</w:t>
            </w:r>
            <w:r>
              <w:rPr>
                <w:rFonts w:hint="default" w:ascii="Times New Roman" w:hAnsi="Times New Roman" w:eastAsia="宋体" w:cs="Times New Roman"/>
                <w:sz w:val="21"/>
                <w:szCs w:val="21"/>
              </w:rPr>
              <w:t>接收实习的学生人数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trHeight w:val="476" w:hRule="atLeas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trHeight w:val="476" w:hRule="atLeas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trHeight w:val="476" w:hRule="atLeas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rPr>
            </w:pP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6" w:type="dxa"/>
            <w:left w:w="52" w:type="dxa"/>
            <w:bottom w:w="86" w:type="dxa"/>
            <w:right w:w="52" w:type="dxa"/>
          </w:tblCellMar>
        </w:tblPrEx>
        <w:trPr>
          <w:trHeight w:val="476" w:hRule="atLeast"/>
          <w:jc w:val="center"/>
        </w:trPr>
        <w:tc>
          <w:tcPr>
            <w:tcW w:w="7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5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16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c>
          <w:tcPr>
            <w:tcW w:w="2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本专业人才培养的需要和未来就业需求，实习基地应能提供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pPr>
        <w:keepNext w:val="0"/>
        <w:keepLines w:val="0"/>
        <w:pageBreakBefore w:val="0"/>
        <w:widowControl w:val="0"/>
        <w:kinsoku/>
        <w:wordWrap/>
        <w:overflowPunct/>
        <w:topLinePunct w:val="0"/>
        <w:autoSpaceDE/>
        <w:autoSpaceDN/>
        <w:bidi w:val="0"/>
        <w:adjustRightInd w:val="0"/>
        <w:snapToGrid w:val="0"/>
        <w:spacing w:before="179" w:beforeLines="30" w:line="360" w:lineRule="auto"/>
        <w:ind w:firstLine="422" w:firstLineChars="200"/>
        <w:jc w:val="center"/>
        <w:textAlignment w:val="auto"/>
        <w:rPr>
          <w:rFonts w:hint="eastAsia" w:ascii="宋体" w:hAnsi="宋体" w:eastAsia="宋体" w:cs="宋体"/>
          <w:b/>
          <w:bCs/>
          <w:sz w:val="21"/>
          <w:szCs w:val="21"/>
          <w:lang w:val="en-US" w:eastAsia="zh-CN"/>
        </w:rPr>
      </w:pPr>
      <w:bookmarkStart w:id="11" w:name="_GoBack"/>
      <w:r>
        <w:rPr>
          <w:rFonts w:hint="eastAsia" w:ascii="宋体" w:hAnsi="宋体" w:eastAsia="宋体" w:cs="宋体"/>
          <w:b/>
          <w:bCs/>
          <w:sz w:val="21"/>
          <w:szCs w:val="21"/>
          <w:lang w:val="en-US" w:eastAsia="zh-CN"/>
        </w:rPr>
        <w:t>专业课程实践项目教学条件一览表</w:t>
      </w:r>
    </w:p>
    <w:tbl>
      <w:tblPr>
        <w:tblStyle w:val="16"/>
        <w:tblpPr w:leftFromText="180" w:rightFromText="180" w:vertAnchor="text" w:tblpX="320" w:tblpY="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825"/>
        <w:gridCol w:w="1325"/>
        <w:gridCol w:w="1090"/>
        <w:gridCol w:w="1635"/>
        <w:gridCol w:w="740"/>
        <w:gridCol w:w="1155"/>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trPr>
        <w:tc>
          <w:tcPr>
            <w:tcW w:w="1476"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课程类别</w:t>
            </w:r>
          </w:p>
        </w:tc>
        <w:tc>
          <w:tcPr>
            <w:tcW w:w="13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课程名称</w:t>
            </w:r>
          </w:p>
        </w:tc>
        <w:tc>
          <w:tcPr>
            <w:tcW w:w="10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课程编码</w:t>
            </w:r>
          </w:p>
        </w:tc>
        <w:tc>
          <w:tcPr>
            <w:tcW w:w="163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实践项目名称</w:t>
            </w:r>
          </w:p>
        </w:tc>
        <w:tc>
          <w:tcPr>
            <w:tcW w:w="74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实践课时数</w:t>
            </w:r>
          </w:p>
        </w:tc>
        <w:tc>
          <w:tcPr>
            <w:tcW w:w="184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实践场所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trPr>
        <w:tc>
          <w:tcPr>
            <w:tcW w:w="1476" w:type="dxa"/>
            <w:gridSpan w:val="2"/>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p>
        </w:tc>
        <w:tc>
          <w:tcPr>
            <w:tcW w:w="1325" w:type="dxa"/>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p>
        </w:tc>
        <w:tc>
          <w:tcPr>
            <w:tcW w:w="1090" w:type="dxa"/>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p>
        </w:tc>
        <w:tc>
          <w:tcPr>
            <w:tcW w:w="1635" w:type="dxa"/>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p>
        </w:tc>
        <w:tc>
          <w:tcPr>
            <w:tcW w:w="740" w:type="dxa"/>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Times New Roman"/>
                <w:sz w:val="21"/>
                <w:szCs w:val="21"/>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实训室名称</w:t>
            </w: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专业课程</w:t>
            </w:r>
          </w:p>
        </w:tc>
        <w:tc>
          <w:tcPr>
            <w:tcW w:w="8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专业基础课程</w:t>
            </w:r>
          </w:p>
        </w:tc>
        <w:tc>
          <w:tcPr>
            <w:tcW w:w="13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课程1</w:t>
            </w:r>
          </w:p>
        </w:tc>
        <w:tc>
          <w:tcPr>
            <w:tcW w:w="10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项目1</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项目2</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专业核心课程</w:t>
            </w:r>
          </w:p>
        </w:tc>
        <w:tc>
          <w:tcPr>
            <w:tcW w:w="13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课程1</w:t>
            </w:r>
          </w:p>
        </w:tc>
        <w:tc>
          <w:tcPr>
            <w:tcW w:w="10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项目1</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项目2</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专业拓展课程</w:t>
            </w:r>
          </w:p>
        </w:tc>
        <w:tc>
          <w:tcPr>
            <w:tcW w:w="13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课程1</w:t>
            </w:r>
          </w:p>
        </w:tc>
        <w:tc>
          <w:tcPr>
            <w:tcW w:w="109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项目1</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项目2</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8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集中实践教学环节课程</w:t>
            </w: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社会实践</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专业实训1</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技能等级证书培训考试实训1</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认知实习</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岗位实习</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6"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毕业设计</w:t>
            </w:r>
          </w:p>
        </w:tc>
        <w:tc>
          <w:tcPr>
            <w:tcW w:w="10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sz w:val="21"/>
                <w:szCs w:val="21"/>
                <w:vertAlign w:val="baseline"/>
                <w:lang w:val="en-US" w:eastAsia="zh-CN"/>
              </w:rPr>
            </w:pP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c>
          <w:tcPr>
            <w:tcW w:w="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spacing w:line="240" w:lineRule="exact"/>
        <w:textAlignment w:val="auto"/>
      </w:pPr>
    </w:p>
    <w:bookmarkEnd w:id="11"/>
    <w:p>
      <w:pPr>
        <w:keepNext w:val="0"/>
        <w:keepLines w:val="0"/>
        <w:pageBreakBefore w:val="0"/>
        <w:widowControl w:val="0"/>
        <w:kinsoku/>
        <w:wordWrap/>
        <w:overflowPunct/>
        <w:topLinePunct w:val="0"/>
        <w:autoSpaceDE/>
        <w:autoSpaceDN/>
        <w:bidi w:val="0"/>
        <w:adjustRightInd w:val="0"/>
        <w:snapToGrid w:val="0"/>
        <w:spacing w:before="61" w:beforeLines="1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（2）教学资源</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宋体" w:hAnsi="宋体" w:eastAsia="宋体" w:cs="宋体"/>
          <w:color w:val="auto"/>
          <w:sz w:val="24"/>
          <w:szCs w:val="24"/>
        </w:rPr>
        <w:t>①</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教材选用：按照国家规定，经过规范程序选用教材，优先选用国家规划教材和国家优秀教材。专业课程教材应体现本行业新技术、新规范、新标准、新形态。</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宋体" w:hAnsi="宋体" w:eastAsia="宋体" w:cs="宋体"/>
          <w:color w:val="auto"/>
          <w:sz w:val="24"/>
          <w:szCs w:val="24"/>
        </w:rPr>
        <w:t>②</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图书文献配备：图书文献配备能满足人才培养、专业建设、教科研等工作的需要，能够及时配置新经济、新技术、新工艺、新材料、新管理方式、新服务方式等相关的图书文献。</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宋体" w:hAnsi="宋体" w:eastAsia="宋体" w:cs="宋体"/>
          <w:color w:val="auto"/>
          <w:sz w:val="24"/>
          <w:szCs w:val="24"/>
        </w:rPr>
        <w:t>③</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数字资源配置：建设、配备与本专业有关的音视频素材、教学课件、数字化教学案例库、虚拟仿真软件、数字教材等专业教学资源库，种类丰富、形式多样、使用便捷、动态更新。</w:t>
      </w:r>
    </w:p>
    <w:p>
      <w:pPr>
        <w:keepNext w:val="0"/>
        <w:keepLines w:val="0"/>
        <w:pageBreakBefore w:val="0"/>
        <w:widowControl w:val="0"/>
        <w:kinsoku/>
        <w:wordWrap/>
        <w:overflowPunct/>
        <w:topLinePunct w:val="0"/>
        <w:autoSpaceDE/>
        <w:autoSpaceDN/>
        <w:bidi w:val="0"/>
        <w:adjustRightInd w:val="0"/>
        <w:snapToGrid w:val="0"/>
        <w:spacing w:before="32" w:beforeLines="5"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9.3 质量保障机制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（1）专业人才培养质量与教学质量的监控与评价机制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本专业</w:t>
      </w:r>
      <w:r>
        <w:rPr>
          <w:rFonts w:hint="default" w:ascii="Times New Roman" w:hAnsi="Times New Roman" w:eastAsia="宋体" w:cs="Times New Roman"/>
          <w:sz w:val="24"/>
          <w:szCs w:val="24"/>
        </w:rPr>
        <w:t xml:space="preserve">建立了专业人才培养质量保障机制，不断健全专业教学质量监控管理制度，改进结果评价，强化过程评价，探索增值评价，健全综合评价。本专业建设了较为完整的课程标准、课堂评价、实验教学、实习实训、毕业设计以及资源建设等质量标准，并通过教学实施、过程监控、质量评价和持续改进，达到人才培养规格要求。 </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日常教学组织运行与管理</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本专业</w:t>
      </w:r>
      <w:r>
        <w:rPr>
          <w:rFonts w:hint="default" w:ascii="Times New Roman" w:hAnsi="Times New Roman" w:eastAsia="宋体" w:cs="Times New Roman"/>
          <w:sz w:val="24"/>
          <w:szCs w:val="24"/>
        </w:rPr>
        <w:t xml:space="preserve">建立了较为完善的教学管理机制，本专业注重日常教学组织运行与管理，定期开展课程建设、日常教学、人才培养质量的诊断与改进，实施巡课、听课、评教、评学等制度，严明教学纪律，定期开展公开课、示范课等教研活动。 </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（3）集中备课制度</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本专业建立了集中备课制度，并定期召开教学研讨会议，利用课程教学评价分析结果，有效改进专业教学，持续提高人才培养质量。</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（4）毕业生跟踪反馈机制与社会评价机制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本专业根据学校建立的毕业生跟踪反馈机制及社会评价机制，实施对生源情况、在校生学业水平、毕业生就业情况等进行分析，定期评价人才培养质量和培养目标达成情况。</w:t>
      </w:r>
    </w:p>
    <w:p>
      <w:pPr>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10 </w:t>
      </w:r>
      <w:r>
        <w:rPr>
          <w:rFonts w:hint="eastAsia" w:ascii="宋体" w:hAnsi="宋体" w:eastAsia="宋体" w:cs="宋体"/>
          <w:b/>
          <w:bCs/>
          <w:sz w:val="28"/>
          <w:szCs w:val="28"/>
        </w:rPr>
        <w:t>毕业资格</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napToGrid/>
          <w:color w:val="000000"/>
          <w:kern w:val="2"/>
          <w:sz w:val="24"/>
          <w:szCs w:val="24"/>
          <w:lang w:val="en-US" w:eastAsia="zh-CN" w:bidi="ar-SA"/>
          <w14:ligatures w14:val="standardContextual"/>
        </w:rPr>
      </w:pPr>
      <w:r>
        <w:rPr>
          <w:rFonts w:ascii="宋体" w:hAnsi="宋体" w:eastAsia="宋体" w:cs="宋体"/>
          <w:sz w:val="24"/>
          <w:szCs w:val="24"/>
        </w:rPr>
        <w:t>根据专业人才培养方案确定的目标和培养规格，完成规定的实习实训，全部课程考核合格或修满学分，准予毕业。</w:t>
      </w:r>
    </w:p>
    <w:p>
      <w:pPr>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11 </w:t>
      </w:r>
      <w:r>
        <w:rPr>
          <w:rFonts w:hint="eastAsia" w:ascii="宋体" w:hAnsi="宋体" w:eastAsia="宋体" w:cs="宋体"/>
          <w:b/>
          <w:bCs/>
          <w:sz w:val="28"/>
          <w:szCs w:val="28"/>
        </w:rPr>
        <w:t>学位授予</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napToGrid/>
          <w:color w:val="000000"/>
          <w:kern w:val="2"/>
          <w:sz w:val="24"/>
          <w:szCs w:val="24"/>
          <w:lang w:val="en-US" w:eastAsia="zh-CN" w:bidi="ar-SA"/>
          <w14:ligatures w14:val="standardContextual"/>
        </w:rPr>
      </w:pPr>
      <w:r>
        <w:rPr>
          <w:rFonts w:hint="eastAsia" w:ascii="宋体" w:hAnsi="宋体" w:eastAsia="宋体" w:cs="宋体"/>
          <w:snapToGrid/>
          <w:color w:val="000000"/>
          <w:kern w:val="2"/>
          <w:sz w:val="24"/>
          <w:szCs w:val="24"/>
          <w:lang w:val="en-US" w:eastAsia="zh-CN" w:bidi="ar-SA"/>
          <w14:ligatures w14:val="standardContextual"/>
        </w:rPr>
        <w:t>依据学校学位授予条例，学生取得毕业资格、且符合学位授予条件，可授予XXXX学士学位。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006FF"/>
    <w:multiLevelType w:val="singleLevel"/>
    <w:tmpl w:val="69C006F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BE"/>
    <w:rsid w:val="004A5924"/>
    <w:rsid w:val="005869A3"/>
    <w:rsid w:val="005C6D65"/>
    <w:rsid w:val="00832ACD"/>
    <w:rsid w:val="009D184C"/>
    <w:rsid w:val="00B275C8"/>
    <w:rsid w:val="00BF6D7C"/>
    <w:rsid w:val="00C721BE"/>
    <w:rsid w:val="00D424B7"/>
    <w:rsid w:val="00E55B3B"/>
    <w:rsid w:val="00EE0308"/>
    <w:rsid w:val="018F61ED"/>
    <w:rsid w:val="01910DE7"/>
    <w:rsid w:val="021667F5"/>
    <w:rsid w:val="0324350B"/>
    <w:rsid w:val="03433F84"/>
    <w:rsid w:val="03546191"/>
    <w:rsid w:val="03B709A5"/>
    <w:rsid w:val="052851DF"/>
    <w:rsid w:val="05602D7F"/>
    <w:rsid w:val="05657103"/>
    <w:rsid w:val="05B20F4D"/>
    <w:rsid w:val="06C462FE"/>
    <w:rsid w:val="0961702D"/>
    <w:rsid w:val="0B1B0345"/>
    <w:rsid w:val="0B2A535E"/>
    <w:rsid w:val="0B8415DD"/>
    <w:rsid w:val="0C1E558E"/>
    <w:rsid w:val="0DD3183E"/>
    <w:rsid w:val="0E561088"/>
    <w:rsid w:val="112A6783"/>
    <w:rsid w:val="1588239B"/>
    <w:rsid w:val="159D5775"/>
    <w:rsid w:val="17832749"/>
    <w:rsid w:val="17DF02C7"/>
    <w:rsid w:val="189E2574"/>
    <w:rsid w:val="1AB64BE3"/>
    <w:rsid w:val="1B76087F"/>
    <w:rsid w:val="1BC82E20"/>
    <w:rsid w:val="1CB515F6"/>
    <w:rsid w:val="1D300C7D"/>
    <w:rsid w:val="1E6611FA"/>
    <w:rsid w:val="1EA731C1"/>
    <w:rsid w:val="1EFC175F"/>
    <w:rsid w:val="1FAA3434"/>
    <w:rsid w:val="1FD46D59"/>
    <w:rsid w:val="20452C91"/>
    <w:rsid w:val="20472FCA"/>
    <w:rsid w:val="20FF1092"/>
    <w:rsid w:val="20FF5448"/>
    <w:rsid w:val="21130FE1"/>
    <w:rsid w:val="219F383C"/>
    <w:rsid w:val="22421F9D"/>
    <w:rsid w:val="23FE45C7"/>
    <w:rsid w:val="245929AF"/>
    <w:rsid w:val="24C26FE9"/>
    <w:rsid w:val="24FD3B3B"/>
    <w:rsid w:val="256575F6"/>
    <w:rsid w:val="25AC158A"/>
    <w:rsid w:val="268A74F7"/>
    <w:rsid w:val="26E440B1"/>
    <w:rsid w:val="2712691B"/>
    <w:rsid w:val="274A6DDF"/>
    <w:rsid w:val="277420AE"/>
    <w:rsid w:val="27897907"/>
    <w:rsid w:val="27BA566D"/>
    <w:rsid w:val="29391822"/>
    <w:rsid w:val="2A8820F8"/>
    <w:rsid w:val="2ADE1FB5"/>
    <w:rsid w:val="2AE47B0A"/>
    <w:rsid w:val="2C3562B0"/>
    <w:rsid w:val="2CBB367B"/>
    <w:rsid w:val="2CED0939"/>
    <w:rsid w:val="30862A8E"/>
    <w:rsid w:val="30A553DA"/>
    <w:rsid w:val="331D02CB"/>
    <w:rsid w:val="34E16FD5"/>
    <w:rsid w:val="35417A73"/>
    <w:rsid w:val="35480451"/>
    <w:rsid w:val="35CA4483"/>
    <w:rsid w:val="35EE7FF9"/>
    <w:rsid w:val="35FC399A"/>
    <w:rsid w:val="361E7731"/>
    <w:rsid w:val="363D75E5"/>
    <w:rsid w:val="36602D47"/>
    <w:rsid w:val="36E51880"/>
    <w:rsid w:val="3A0C3764"/>
    <w:rsid w:val="3BF90521"/>
    <w:rsid w:val="3CEA5812"/>
    <w:rsid w:val="3D9E54D8"/>
    <w:rsid w:val="3DF8713D"/>
    <w:rsid w:val="3E2972F7"/>
    <w:rsid w:val="3E2E2B5F"/>
    <w:rsid w:val="3E6B790F"/>
    <w:rsid w:val="3E8409D1"/>
    <w:rsid w:val="3EC11C25"/>
    <w:rsid w:val="3ECF60F0"/>
    <w:rsid w:val="3FCC262F"/>
    <w:rsid w:val="416F7716"/>
    <w:rsid w:val="426B6DCF"/>
    <w:rsid w:val="42920B6B"/>
    <w:rsid w:val="42F35104"/>
    <w:rsid w:val="431A6414"/>
    <w:rsid w:val="435C016E"/>
    <w:rsid w:val="43715488"/>
    <w:rsid w:val="44854D89"/>
    <w:rsid w:val="44E06448"/>
    <w:rsid w:val="44F214C6"/>
    <w:rsid w:val="45126D36"/>
    <w:rsid w:val="459477AA"/>
    <w:rsid w:val="45AF0A29"/>
    <w:rsid w:val="49836455"/>
    <w:rsid w:val="4BCC4C95"/>
    <w:rsid w:val="4D1473C4"/>
    <w:rsid w:val="4D404AD9"/>
    <w:rsid w:val="4DB841F3"/>
    <w:rsid w:val="4DDD6691"/>
    <w:rsid w:val="4EAE445C"/>
    <w:rsid w:val="505226DD"/>
    <w:rsid w:val="506A211C"/>
    <w:rsid w:val="51B80C66"/>
    <w:rsid w:val="531D1494"/>
    <w:rsid w:val="540754A1"/>
    <w:rsid w:val="54617393"/>
    <w:rsid w:val="5492579E"/>
    <w:rsid w:val="552A4F02"/>
    <w:rsid w:val="56B714EC"/>
    <w:rsid w:val="573558E6"/>
    <w:rsid w:val="580046D5"/>
    <w:rsid w:val="5A366BCB"/>
    <w:rsid w:val="5AAB51B4"/>
    <w:rsid w:val="5ABA6E23"/>
    <w:rsid w:val="5BDB5C7C"/>
    <w:rsid w:val="5C664C93"/>
    <w:rsid w:val="5CAC186B"/>
    <w:rsid w:val="5D4635C9"/>
    <w:rsid w:val="5D6E5BDA"/>
    <w:rsid w:val="5E4D0988"/>
    <w:rsid w:val="5F685A79"/>
    <w:rsid w:val="5FBF1411"/>
    <w:rsid w:val="606C65B5"/>
    <w:rsid w:val="60E60BC1"/>
    <w:rsid w:val="60FC4662"/>
    <w:rsid w:val="62697DD9"/>
    <w:rsid w:val="62B45479"/>
    <w:rsid w:val="63144DA5"/>
    <w:rsid w:val="63181564"/>
    <w:rsid w:val="64402D87"/>
    <w:rsid w:val="646E4AE4"/>
    <w:rsid w:val="6481138B"/>
    <w:rsid w:val="659F5F6D"/>
    <w:rsid w:val="663366B5"/>
    <w:rsid w:val="68124002"/>
    <w:rsid w:val="689449D5"/>
    <w:rsid w:val="69676F39"/>
    <w:rsid w:val="6B0F541B"/>
    <w:rsid w:val="6D503047"/>
    <w:rsid w:val="6DCF2038"/>
    <w:rsid w:val="6E725C5D"/>
    <w:rsid w:val="6E876010"/>
    <w:rsid w:val="6FCE7B7A"/>
    <w:rsid w:val="702552C0"/>
    <w:rsid w:val="706C1141"/>
    <w:rsid w:val="716D5171"/>
    <w:rsid w:val="728533A2"/>
    <w:rsid w:val="72E535BB"/>
    <w:rsid w:val="73234385"/>
    <w:rsid w:val="74B8195F"/>
    <w:rsid w:val="74DF6CCE"/>
    <w:rsid w:val="762272B5"/>
    <w:rsid w:val="7725204A"/>
    <w:rsid w:val="77CA50CB"/>
    <w:rsid w:val="77E80164"/>
    <w:rsid w:val="78661C8E"/>
    <w:rsid w:val="7871758C"/>
    <w:rsid w:val="78E51A91"/>
    <w:rsid w:val="790E2D96"/>
    <w:rsid w:val="79564969"/>
    <w:rsid w:val="7A396538"/>
    <w:rsid w:val="7A6115EB"/>
    <w:rsid w:val="7A762DBD"/>
    <w:rsid w:val="7BD52290"/>
    <w:rsid w:val="7C357008"/>
    <w:rsid w:val="7C9D56A9"/>
    <w:rsid w:val="7DB163E5"/>
    <w:rsid w:val="7E2117BD"/>
    <w:rsid w:val="7E213F66"/>
    <w:rsid w:val="7EF96296"/>
    <w:rsid w:val="7F802513"/>
    <w:rsid w:val="7FE32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paragraph" w:styleId="12">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b/>
    </w:rPr>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7"/>
    <w:link w:val="5"/>
    <w:semiHidden/>
    <w:qFormat/>
    <w:uiPriority w:val="9"/>
    <w:rPr>
      <w:rFonts w:cstheme="majorBidi"/>
      <w:color w:val="2F5597" w:themeColor="accent1" w:themeShade="BF"/>
      <w:sz w:val="28"/>
      <w:szCs w:val="28"/>
    </w:rPr>
  </w:style>
  <w:style w:type="character" w:customStyle="1" w:styleId="23">
    <w:name w:val="标题 5 字符"/>
    <w:basedOn w:val="17"/>
    <w:link w:val="6"/>
    <w:semiHidden/>
    <w:qFormat/>
    <w:uiPriority w:val="9"/>
    <w:rPr>
      <w:rFonts w:cstheme="majorBidi"/>
      <w:color w:val="2F5597" w:themeColor="accent1" w:themeShade="BF"/>
      <w:sz w:val="24"/>
      <w:szCs w:val="24"/>
    </w:rPr>
  </w:style>
  <w:style w:type="character" w:customStyle="1" w:styleId="24">
    <w:name w:val="标题 6 字符"/>
    <w:basedOn w:val="17"/>
    <w:link w:val="7"/>
    <w:semiHidden/>
    <w:qFormat/>
    <w:uiPriority w:val="9"/>
    <w:rPr>
      <w:rFonts w:cstheme="majorBidi"/>
      <w:b/>
      <w:bCs/>
      <w:color w:val="2F5597"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i/>
      <w:iCs/>
      <w:color w:val="2F5597" w:themeColor="accent1" w:themeShade="BF"/>
    </w:rPr>
  </w:style>
  <w:style w:type="character" w:customStyle="1" w:styleId="36">
    <w:name w:val="Intense Reference"/>
    <w:basedOn w:val="17"/>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2202</Words>
  <Characters>2399</Characters>
  <Lines>18</Lines>
  <Paragraphs>15</Paragraphs>
  <TotalTime>5</TotalTime>
  <ScaleCrop>false</ScaleCrop>
  <LinksUpToDate>false</LinksUpToDate>
  <CharactersWithSpaces>2419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2025-05-09T06:53:00Z</dcterms:created>
  <dc:creator>BIN ZHAO</dc:creator>
  <cp:lastModifiedBy>Power</cp:lastModifiedBy>
  <dcterms:modified xsi:type="dcterms:W3CDTF">2026-05-09T00:24:03Z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eyJoZGlkIjoiYWRjYTRhYjU1NzA1NzllODRjNGI5ZTY0ODUxYzA0NzIiLCJ1c2VySWQiOiIyNzAyNjEyMTMifQ==</vt:lpwstr>
  </property>
  <property fmtid="{D5CDD505-2E9C-101B-9397-08002B2CF9AE}" pid="3" name="KSOProductBuildVer">
    <vt:lpwstr>2052-11.8.2.8875</vt:lpwstr>
  </property>
  <property fmtid="{D5CDD505-2E9C-101B-9397-08002B2CF9AE}" pid="4" name="ICV">
    <vt:lpwstr>8C6EE2369C644F5FB822CC573D46F330_12</vt:lpwstr>
  </property>
</Properties>
</file>