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F4712">
      <w:pPr>
        <w:spacing w:line="480" w:lineRule="exact"/>
        <w:rPr>
          <w:rFonts w:ascii="黑体" w:eastAsia="黑体"/>
          <w:color w:val="auto"/>
          <w:sz w:val="32"/>
        </w:rPr>
      </w:pPr>
      <w:r>
        <w:rPr>
          <w:rFonts w:hint="eastAsia" w:ascii="黑体" w:eastAsia="黑体"/>
          <w:color w:val="auto"/>
          <w:sz w:val="32"/>
        </w:rPr>
        <w:t>附件1</w:t>
      </w:r>
    </w:p>
    <w:p w14:paraId="46905B7F">
      <w:pPr>
        <w:spacing w:line="480" w:lineRule="exact"/>
        <w:jc w:val="center"/>
        <w:rPr>
          <w:rFonts w:hint="eastAsia" w:ascii="方正小标宋简体" w:hAnsi="华文中宋" w:eastAsia="方正小标宋简体"/>
          <w:color w:val="auto"/>
          <w:sz w:val="36"/>
          <w:szCs w:val="36"/>
        </w:rPr>
      </w:pPr>
      <w:bookmarkStart w:id="0" w:name="_Hlk84951964"/>
      <w:r>
        <w:rPr>
          <w:rFonts w:hint="eastAsia" w:ascii="方正小标宋简体" w:hAnsi="华文中宋" w:eastAsia="方正小标宋简体"/>
          <w:color w:val="auto"/>
          <w:sz w:val="36"/>
          <w:szCs w:val="36"/>
        </w:rPr>
        <w:t>202</w:t>
      </w:r>
      <w:r>
        <w:rPr>
          <w:rFonts w:hint="eastAsia" w:ascii="方正小标宋简体" w:hAnsi="华文中宋" w:eastAsia="方正小标宋简体"/>
          <w:color w:val="auto"/>
          <w:sz w:val="36"/>
          <w:szCs w:val="36"/>
          <w:lang w:val="en-US" w:eastAsia="zh-CN"/>
        </w:rPr>
        <w:t>6</w:t>
      </w:r>
      <w:r>
        <w:rPr>
          <w:rFonts w:hint="eastAsia" w:ascii="方正小标宋简体" w:hAnsi="华文中宋" w:eastAsia="方正小标宋简体"/>
          <w:color w:val="auto"/>
          <w:sz w:val="36"/>
          <w:szCs w:val="36"/>
        </w:rPr>
        <w:t>年上海高等职业教育市级精品在线开放课程</w:t>
      </w:r>
    </w:p>
    <w:bookmarkEnd w:id="0"/>
    <w:p w14:paraId="18B3D6CA">
      <w:pPr>
        <w:spacing w:line="480" w:lineRule="exact"/>
        <w:jc w:val="center"/>
        <w:rPr>
          <w:rFonts w:hint="eastAsia" w:ascii="方正小标宋简体" w:hAnsi="华文中宋" w:eastAsia="方正小标宋简体"/>
          <w:color w:val="auto"/>
          <w:sz w:val="36"/>
          <w:szCs w:val="36"/>
        </w:rPr>
      </w:pPr>
      <w:r>
        <w:rPr>
          <w:rFonts w:hint="eastAsia" w:ascii="方正小标宋简体" w:hAnsi="华文中宋" w:eastAsia="方正小标宋简体"/>
          <w:color w:val="auto"/>
          <w:sz w:val="36"/>
          <w:szCs w:val="36"/>
        </w:rPr>
        <w:t>评选指标</w:t>
      </w:r>
    </w:p>
    <w:p w14:paraId="1E0D1B9D">
      <w:pPr>
        <w:numPr>
          <w:ilvl w:val="0"/>
          <w:numId w:val="1"/>
        </w:numPr>
        <w:spacing w:line="480" w:lineRule="exact"/>
        <w:ind w:right="26"/>
        <w:jc w:val="center"/>
        <w:rPr>
          <w:rFonts w:eastAsia="黑体"/>
          <w:color w:val="auto"/>
          <w:kern w:val="0"/>
          <w:sz w:val="28"/>
          <w:szCs w:val="28"/>
        </w:rPr>
      </w:pPr>
      <w:r>
        <w:rPr>
          <w:rFonts w:eastAsia="黑体"/>
          <w:color w:val="auto"/>
          <w:kern w:val="0"/>
          <w:sz w:val="28"/>
          <w:szCs w:val="28"/>
        </w:rPr>
        <w:t>否定性指标</w:t>
      </w:r>
    </w:p>
    <w:tbl>
      <w:tblPr>
        <w:tblStyle w:val="2"/>
        <w:tblW w:w="88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3919"/>
        <w:gridCol w:w="3772"/>
      </w:tblGrid>
      <w:tr w14:paraId="47195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1117" w:type="dxa"/>
            <w:noWrap w:val="0"/>
            <w:vAlign w:val="center"/>
          </w:tcPr>
          <w:p w14:paraId="0927E609">
            <w:pPr>
              <w:widowControl/>
              <w:jc w:val="center"/>
              <w:rPr>
                <w:rFonts w:ascii="Times New Roman" w:hAnsi="Times New Roman" w:eastAsia="黑体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kern w:val="0"/>
                <w:szCs w:val="21"/>
              </w:rPr>
              <w:t>维度</w:t>
            </w:r>
          </w:p>
        </w:tc>
        <w:tc>
          <w:tcPr>
            <w:tcW w:w="3919" w:type="dxa"/>
            <w:noWrap w:val="0"/>
            <w:vAlign w:val="center"/>
          </w:tcPr>
          <w:p w14:paraId="323125B8">
            <w:pPr>
              <w:widowControl/>
              <w:jc w:val="center"/>
              <w:rPr>
                <w:rFonts w:ascii="Times New Roman" w:hAnsi="Times New Roman" w:eastAsia="黑体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kern w:val="0"/>
                <w:szCs w:val="21"/>
              </w:rPr>
              <w:t>具体指标</w:t>
            </w:r>
          </w:p>
        </w:tc>
        <w:tc>
          <w:tcPr>
            <w:tcW w:w="3772" w:type="dxa"/>
            <w:noWrap w:val="0"/>
            <w:vAlign w:val="center"/>
          </w:tcPr>
          <w:p w14:paraId="6112E4F6">
            <w:pPr>
              <w:widowControl/>
              <w:jc w:val="center"/>
              <w:rPr>
                <w:rFonts w:ascii="Times New Roman" w:hAnsi="Times New Roman" w:eastAsia="黑体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kern w:val="0"/>
                <w:szCs w:val="21"/>
              </w:rPr>
              <w:t>观测点及方式</w:t>
            </w:r>
          </w:p>
        </w:tc>
      </w:tr>
      <w:tr w14:paraId="251B3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117" w:type="dxa"/>
            <w:vMerge w:val="restart"/>
            <w:noWrap w:val="0"/>
            <w:vAlign w:val="center"/>
          </w:tcPr>
          <w:p w14:paraId="219AF12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课程资格</w:t>
            </w:r>
          </w:p>
        </w:tc>
        <w:tc>
          <w:tcPr>
            <w:tcW w:w="3919" w:type="dxa"/>
            <w:noWrap w:val="0"/>
            <w:vAlign w:val="center"/>
          </w:tcPr>
          <w:p w14:paraId="2F56FFC9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课程与推荐申报类型不符</w:t>
            </w:r>
          </w:p>
        </w:tc>
        <w:tc>
          <w:tcPr>
            <w:tcW w:w="3772" w:type="dxa"/>
            <w:noWrap w:val="0"/>
            <w:vAlign w:val="center"/>
          </w:tcPr>
          <w:p w14:paraId="261BD37D">
            <w:pPr>
              <w:widowControl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查看教务系统截图，核实是否是专业人才培养方案的在线课程</w:t>
            </w:r>
          </w:p>
        </w:tc>
      </w:tr>
      <w:tr w14:paraId="1FED1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2" w:hRule="atLeast"/>
          <w:jc w:val="center"/>
        </w:trPr>
        <w:tc>
          <w:tcPr>
            <w:tcW w:w="1117" w:type="dxa"/>
            <w:vMerge w:val="continue"/>
            <w:noWrap w:val="0"/>
            <w:vAlign w:val="center"/>
          </w:tcPr>
          <w:p w14:paraId="7D29B34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3919" w:type="dxa"/>
            <w:noWrap w:val="0"/>
            <w:vAlign w:val="center"/>
          </w:tcPr>
          <w:p w14:paraId="60DF639A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开设时间或期数不符合申报要求</w:t>
            </w:r>
          </w:p>
        </w:tc>
        <w:tc>
          <w:tcPr>
            <w:tcW w:w="3772" w:type="dxa"/>
            <w:noWrap w:val="0"/>
            <w:vAlign w:val="center"/>
          </w:tcPr>
          <w:p w14:paraId="4160D3FE">
            <w:pPr>
              <w:widowControl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查看课程平台（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包括主要开课平台和其他开课平台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）运行情况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和提交的申报材料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，核实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课程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lang w:val="en-US" w:eastAsia="zh-CN"/>
              </w:rPr>
              <w:t>总学时是否不低于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  <w:t>32学时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lang w:val="en-US" w:eastAsia="zh-CN"/>
              </w:rPr>
              <w:t>以及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申报截止日期前是否完成至少两（学）期教学实践</w:t>
            </w:r>
          </w:p>
        </w:tc>
      </w:tr>
      <w:tr w14:paraId="6282F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1117" w:type="dxa"/>
            <w:vMerge w:val="continue"/>
            <w:noWrap w:val="0"/>
            <w:vAlign w:val="center"/>
          </w:tcPr>
          <w:p w14:paraId="0A0D21A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3919" w:type="dxa"/>
            <w:noWrap w:val="0"/>
            <w:vAlign w:val="center"/>
          </w:tcPr>
          <w:p w14:paraId="43C60E6F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教材选用不合规</w:t>
            </w:r>
          </w:p>
        </w:tc>
        <w:tc>
          <w:tcPr>
            <w:tcW w:w="3772" w:type="dxa"/>
            <w:noWrap w:val="0"/>
            <w:vAlign w:val="center"/>
          </w:tcPr>
          <w:p w14:paraId="317B3F18">
            <w:pPr>
              <w:widowControl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查看提交的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申报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材料，核实选用教材是否符合《职业院校教材管理办法》等有关要求</w:t>
            </w:r>
          </w:p>
        </w:tc>
      </w:tr>
      <w:tr w14:paraId="56113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1117" w:type="dxa"/>
            <w:vMerge w:val="continue"/>
            <w:noWrap w:val="0"/>
            <w:vAlign w:val="center"/>
          </w:tcPr>
          <w:p w14:paraId="6788720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3919" w:type="dxa"/>
            <w:noWrap w:val="0"/>
            <w:vAlign w:val="center"/>
          </w:tcPr>
          <w:p w14:paraId="2F550DF5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课程基本信息明显不一致</w:t>
            </w:r>
          </w:p>
        </w:tc>
        <w:tc>
          <w:tcPr>
            <w:tcW w:w="3772" w:type="dxa"/>
            <w:noWrap w:val="0"/>
            <w:vAlign w:val="center"/>
          </w:tcPr>
          <w:p w14:paraId="0F314A4C">
            <w:pPr>
              <w:widowControl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查看教务系统截图，重点比对课程名称、授课教师、学时等有关说明材料</w:t>
            </w:r>
          </w:p>
        </w:tc>
      </w:tr>
      <w:tr w14:paraId="74271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117" w:type="dxa"/>
            <w:vMerge w:val="continue"/>
            <w:noWrap w:val="0"/>
            <w:vAlign w:val="center"/>
          </w:tcPr>
          <w:p w14:paraId="29A0C89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3919" w:type="dxa"/>
            <w:noWrap w:val="0"/>
            <w:vAlign w:val="center"/>
          </w:tcPr>
          <w:p w14:paraId="7BE4B4A7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课程线上教学资源、教学活动无法查看</w:t>
            </w:r>
          </w:p>
        </w:tc>
        <w:tc>
          <w:tcPr>
            <w:tcW w:w="3772" w:type="dxa"/>
            <w:noWrap w:val="0"/>
            <w:vAlign w:val="center"/>
          </w:tcPr>
          <w:p w14:paraId="0331BD8B">
            <w:pPr>
              <w:widowControl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查看课程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网址</w:t>
            </w:r>
          </w:p>
        </w:tc>
      </w:tr>
      <w:tr w14:paraId="20E3D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117" w:type="dxa"/>
            <w:vMerge w:val="continue"/>
            <w:noWrap w:val="0"/>
            <w:vAlign w:val="center"/>
          </w:tcPr>
          <w:p w14:paraId="11AB13F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3919" w:type="dxa"/>
            <w:noWrap w:val="0"/>
            <w:vAlign w:val="center"/>
          </w:tcPr>
          <w:p w14:paraId="4D40E507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课程含不安全外部链接</w:t>
            </w:r>
          </w:p>
        </w:tc>
        <w:tc>
          <w:tcPr>
            <w:tcW w:w="3772" w:type="dxa"/>
            <w:noWrap w:val="0"/>
            <w:vAlign w:val="center"/>
          </w:tcPr>
          <w:p w14:paraId="4D0E2D49">
            <w:pPr>
              <w:widowControl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查看课程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网址</w:t>
            </w:r>
          </w:p>
        </w:tc>
      </w:tr>
      <w:tr w14:paraId="046B4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1117" w:type="dxa"/>
            <w:vMerge w:val="continue"/>
            <w:noWrap w:val="0"/>
            <w:vAlign w:val="center"/>
          </w:tcPr>
          <w:p w14:paraId="359539F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3919" w:type="dxa"/>
            <w:noWrap w:val="0"/>
            <w:vAlign w:val="center"/>
          </w:tcPr>
          <w:p w14:paraId="38A623B7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课程内容存在政治性、科学性、规范性问题</w:t>
            </w:r>
          </w:p>
        </w:tc>
        <w:tc>
          <w:tcPr>
            <w:tcW w:w="3772" w:type="dxa"/>
            <w:noWrap w:val="0"/>
            <w:vAlign w:val="center"/>
          </w:tcPr>
          <w:p w14:paraId="01DC0036">
            <w:pPr>
              <w:widowControl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查看课程内容和有关材料，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核实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是否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存在意识形态问题或科学性问题，是否存在其他重大规范性问题</w:t>
            </w:r>
          </w:p>
        </w:tc>
      </w:tr>
      <w:tr w14:paraId="74FB5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1117" w:type="dxa"/>
            <w:noWrap w:val="0"/>
            <w:vAlign w:val="center"/>
          </w:tcPr>
          <w:p w14:paraId="64D9086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教师资格</w:t>
            </w:r>
          </w:p>
        </w:tc>
        <w:tc>
          <w:tcPr>
            <w:tcW w:w="3919" w:type="dxa"/>
            <w:noWrap w:val="0"/>
            <w:vAlign w:val="center"/>
          </w:tcPr>
          <w:p w14:paraId="0FE7D944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团队成员存在师德师风方面问题</w:t>
            </w:r>
          </w:p>
        </w:tc>
        <w:tc>
          <w:tcPr>
            <w:tcW w:w="3772" w:type="dxa"/>
            <w:noWrap w:val="0"/>
            <w:vAlign w:val="center"/>
          </w:tcPr>
          <w:p w14:paraId="2D10CE93">
            <w:pPr>
              <w:widowControl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查看“团队成员政治审查意见”以及提交的有关材料是否合规，或举报属实</w:t>
            </w:r>
          </w:p>
        </w:tc>
      </w:tr>
      <w:tr w14:paraId="127A8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117" w:type="dxa"/>
            <w:vMerge w:val="restart"/>
            <w:noWrap w:val="0"/>
            <w:vAlign w:val="center"/>
          </w:tcPr>
          <w:p w14:paraId="7AB28E8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申报材料</w:t>
            </w:r>
          </w:p>
        </w:tc>
        <w:tc>
          <w:tcPr>
            <w:tcW w:w="3919" w:type="dxa"/>
            <w:noWrap w:val="0"/>
            <w:vAlign w:val="center"/>
          </w:tcPr>
          <w:p w14:paraId="346896F2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申报材料造假</w:t>
            </w:r>
          </w:p>
        </w:tc>
        <w:tc>
          <w:tcPr>
            <w:tcW w:w="3772" w:type="dxa"/>
            <w:noWrap w:val="0"/>
            <w:vAlign w:val="center"/>
          </w:tcPr>
          <w:p w14:paraId="42E05159">
            <w:pPr>
              <w:widowControl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查看提交的材料，或举报属实</w:t>
            </w:r>
          </w:p>
        </w:tc>
      </w:tr>
      <w:tr w14:paraId="654B0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117" w:type="dxa"/>
            <w:vMerge w:val="continue"/>
            <w:noWrap w:val="0"/>
            <w:vAlign w:val="center"/>
          </w:tcPr>
          <w:p w14:paraId="22E240C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3919" w:type="dxa"/>
            <w:noWrap w:val="0"/>
            <w:vAlign w:val="center"/>
          </w:tcPr>
          <w:p w14:paraId="7686DA37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有侵权现象</w:t>
            </w:r>
          </w:p>
        </w:tc>
        <w:tc>
          <w:tcPr>
            <w:tcW w:w="3772" w:type="dxa"/>
            <w:noWrap w:val="0"/>
            <w:vAlign w:val="center"/>
          </w:tcPr>
          <w:p w14:paraId="02A6BFCC">
            <w:pPr>
              <w:widowControl/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查看课程内容和有关材料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，或举报属实</w:t>
            </w:r>
          </w:p>
        </w:tc>
      </w:tr>
      <w:tr w14:paraId="6E7F0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1117" w:type="dxa"/>
            <w:noWrap w:val="0"/>
            <w:vAlign w:val="center"/>
          </w:tcPr>
          <w:p w14:paraId="6F0D995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平台资格</w:t>
            </w:r>
          </w:p>
        </w:tc>
        <w:tc>
          <w:tcPr>
            <w:tcW w:w="3919" w:type="dxa"/>
            <w:noWrap w:val="0"/>
            <w:vAlign w:val="top"/>
          </w:tcPr>
          <w:p w14:paraId="61393E68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18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无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工信部ICP网站备案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val="en-US" w:eastAsia="zh-CN"/>
              </w:rPr>
              <w:t>无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公安机关网站备案号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信息安全等级保护证书未达到三级</w:t>
            </w:r>
          </w:p>
        </w:tc>
        <w:tc>
          <w:tcPr>
            <w:tcW w:w="3772" w:type="dxa"/>
            <w:noWrap w:val="0"/>
            <w:vAlign w:val="center"/>
          </w:tcPr>
          <w:p w14:paraId="2FBD8AAA">
            <w:pPr>
              <w:widowControl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查看“提供的课程访问网址”和有关材料，或举报属实</w:t>
            </w:r>
          </w:p>
        </w:tc>
      </w:tr>
    </w:tbl>
    <w:p w14:paraId="1126AA93">
      <w:pPr>
        <w:numPr>
          <w:ilvl w:val="0"/>
          <w:numId w:val="1"/>
        </w:numPr>
        <w:spacing w:line="520" w:lineRule="exact"/>
        <w:ind w:left="0" w:leftChars="0" w:right="26" w:firstLine="0" w:firstLineChars="0"/>
        <w:jc w:val="center"/>
        <w:rPr>
          <w:rFonts w:eastAsia="黑体"/>
          <w:color w:val="auto"/>
          <w:kern w:val="0"/>
          <w:sz w:val="28"/>
          <w:szCs w:val="28"/>
        </w:rPr>
      </w:pPr>
      <w:r>
        <w:rPr>
          <w:rFonts w:eastAsia="黑体"/>
          <w:color w:val="auto"/>
          <w:kern w:val="0"/>
          <w:sz w:val="28"/>
          <w:szCs w:val="28"/>
        </w:rPr>
        <w:t>评议性指标</w:t>
      </w:r>
    </w:p>
    <w:tbl>
      <w:tblPr>
        <w:tblStyle w:val="2"/>
        <w:tblW w:w="88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1329"/>
        <w:gridCol w:w="6446"/>
      </w:tblGrid>
      <w:tr w14:paraId="5177A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119" w:type="dxa"/>
            <w:noWrap w:val="0"/>
            <w:vAlign w:val="center"/>
          </w:tcPr>
          <w:p w14:paraId="40A04145"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Cs w:val="21"/>
              </w:rPr>
              <w:t>一级指标</w:t>
            </w:r>
          </w:p>
        </w:tc>
        <w:tc>
          <w:tcPr>
            <w:tcW w:w="1329" w:type="dxa"/>
            <w:noWrap w:val="0"/>
            <w:vAlign w:val="center"/>
          </w:tcPr>
          <w:p w14:paraId="28296739"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Cs w:val="21"/>
              </w:rPr>
              <w:t>二级指标</w:t>
            </w:r>
          </w:p>
        </w:tc>
        <w:tc>
          <w:tcPr>
            <w:tcW w:w="6446" w:type="dxa"/>
            <w:noWrap w:val="0"/>
            <w:vAlign w:val="center"/>
          </w:tcPr>
          <w:p w14:paraId="3C77BF07"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Cs w:val="21"/>
              </w:rPr>
              <w:t>观测点及要求</w:t>
            </w:r>
          </w:p>
        </w:tc>
      </w:tr>
      <w:tr w14:paraId="618F8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19" w:type="dxa"/>
            <w:vMerge w:val="restart"/>
            <w:noWrap w:val="0"/>
            <w:vAlign w:val="center"/>
          </w:tcPr>
          <w:p w14:paraId="6E969DB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授课教师团队</w:t>
            </w:r>
          </w:p>
        </w:tc>
        <w:tc>
          <w:tcPr>
            <w:tcW w:w="1329" w:type="dxa"/>
            <w:noWrap w:val="0"/>
            <w:vAlign w:val="center"/>
          </w:tcPr>
          <w:p w14:paraId="03C74D1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团队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构成与要求</w:t>
            </w:r>
          </w:p>
        </w:tc>
        <w:tc>
          <w:tcPr>
            <w:tcW w:w="6446" w:type="dxa"/>
            <w:noWrap w:val="0"/>
            <w:vAlign w:val="center"/>
          </w:tcPr>
          <w:p w14:paraId="431D34BC">
            <w:pPr>
              <w:pStyle w:val="4"/>
              <w:widowControl/>
              <w:numPr>
                <w:ilvl w:val="0"/>
                <w:numId w:val="0"/>
              </w:numP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1.团队结构合理，师德师风优良，教学表现力和亲和力强，教学成果积累丰富，教学改革意识强，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数字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素养高。</w:t>
            </w:r>
          </w:p>
          <w:p w14:paraId="1539080D">
            <w:pPr>
              <w:pStyle w:val="4"/>
              <w:widowControl/>
              <w:numPr>
                <w:ilvl w:val="0"/>
                <w:numId w:val="0"/>
              </w:numP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2.课程负责人应具有副高级及以上职称，具有丰富的教学经验和扎实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  <w:lang w:eastAsia="zh-CN"/>
              </w:rPr>
              <w:t>的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专业功底，在本专业领域具有一定影响力，同一课程负责人限牵头申报一门课程。专业课团队主要成员中应有“双师型”教师。</w:t>
            </w:r>
          </w:p>
          <w:p w14:paraId="58CA250A">
            <w:pPr>
              <w:pStyle w:val="4"/>
              <w:widowControl/>
              <w:numPr>
                <w:ilvl w:val="0"/>
                <w:numId w:val="0"/>
              </w:numPr>
              <w:rPr>
                <w:rFonts w:hint="eastAsia" w:ascii="Times New Roman" w:hAnsi="Times New Roman" w:eastAsia="仿宋_GB2312" w:cs="Times New Roman"/>
                <w:color w:val="auto"/>
                <w:kern w:val="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3.专业课“双师型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  <w:lang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教师及行业企业兼职教师各具特色，团队主要成员须与课程平台显示人员基本一致，配备必要的助理教师</w:t>
            </w:r>
            <w:r>
              <w:rPr>
                <w:rFonts w:hint="eastAsia" w:eastAsia="仿宋_GB2312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</w:tc>
      </w:tr>
      <w:tr w14:paraId="4A44E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19" w:type="dxa"/>
            <w:vMerge w:val="continue"/>
            <w:noWrap w:val="0"/>
            <w:vAlign w:val="center"/>
          </w:tcPr>
          <w:p w14:paraId="550801F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329" w:type="dxa"/>
            <w:noWrap w:val="0"/>
            <w:vAlign w:val="center"/>
          </w:tcPr>
          <w:p w14:paraId="6331C24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团队教学与建设</w:t>
            </w:r>
          </w:p>
        </w:tc>
        <w:tc>
          <w:tcPr>
            <w:tcW w:w="6446" w:type="dxa"/>
            <w:noWrap w:val="0"/>
            <w:vAlign w:val="center"/>
          </w:tcPr>
          <w:p w14:paraId="20C7707E">
            <w:pPr>
              <w:pStyle w:val="4"/>
              <w:widowControl/>
              <w:numPr>
                <w:ilvl w:val="0"/>
                <w:numId w:val="0"/>
              </w:numP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1.团队拥有丰富教学经验，开展有关教学研究。</w:t>
            </w:r>
          </w:p>
          <w:p w14:paraId="3F1DB681">
            <w:pPr>
              <w:pStyle w:val="4"/>
              <w:widowControl/>
              <w:numPr>
                <w:ilvl w:val="0"/>
                <w:numId w:val="0"/>
              </w:numP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2.团队教学能力突出、教学成果显著，获得有关教学奖励</w:t>
            </w:r>
            <w:r>
              <w:rPr>
                <w:rFonts w:hint="eastAsia" w:eastAsia="仿宋_GB2312" w:cs="Times New Roman"/>
                <w:color w:val="auto"/>
                <w:kern w:val="0"/>
                <w:szCs w:val="21"/>
                <w:lang w:val="en-US" w:eastAsia="zh-CN"/>
              </w:rPr>
              <w:t>。</w:t>
            </w:r>
          </w:p>
        </w:tc>
      </w:tr>
      <w:tr w14:paraId="18E70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19" w:type="dxa"/>
            <w:vMerge w:val="restart"/>
            <w:noWrap w:val="0"/>
            <w:vAlign w:val="center"/>
          </w:tcPr>
          <w:p w14:paraId="74A5DD8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课程设计</w:t>
            </w:r>
          </w:p>
        </w:tc>
        <w:tc>
          <w:tcPr>
            <w:tcW w:w="1329" w:type="dxa"/>
            <w:noWrap w:val="0"/>
            <w:vAlign w:val="center"/>
          </w:tcPr>
          <w:p w14:paraId="5DADD66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课程定位与目标</w:t>
            </w:r>
          </w:p>
        </w:tc>
        <w:tc>
          <w:tcPr>
            <w:tcW w:w="6446" w:type="dxa"/>
            <w:noWrap w:val="0"/>
            <w:vAlign w:val="center"/>
          </w:tcPr>
          <w:p w14:paraId="362EEA17">
            <w:pPr>
              <w:pStyle w:val="4"/>
              <w:widowControl/>
              <w:numPr>
                <w:ilvl w:val="0"/>
                <w:numId w:val="0"/>
              </w:numPr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  <w:t>1.落实立德树人根本任务，符合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lang w:val="en-US" w:eastAsia="zh-CN"/>
              </w:rPr>
              <w:t>相关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highlight w:val="none"/>
                <w:lang w:val="en-US" w:eastAsia="zh-CN"/>
              </w:rPr>
              <w:t>职业教育国家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  <w:t>教学标准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  <w:t>人才培养方案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lang w:val="en-US" w:eastAsia="zh-CN"/>
              </w:rPr>
              <w:t>课程标准要求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  <w:t>，课程性质明确，与前、后接续课程衔接得当。</w:t>
            </w:r>
          </w:p>
          <w:p w14:paraId="26D9F6C9">
            <w:pPr>
              <w:pStyle w:val="4"/>
              <w:widowControl/>
              <w:numPr>
                <w:ilvl w:val="0"/>
                <w:numId w:val="0"/>
              </w:numPr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  <w:t>2.课程目标定位准确、条目清晰、内容具体、可评可测。</w:t>
            </w:r>
          </w:p>
          <w:p w14:paraId="2DF69A6C">
            <w:pPr>
              <w:pStyle w:val="4"/>
              <w:widowControl/>
              <w:numPr>
                <w:ilvl w:val="0"/>
                <w:numId w:val="0"/>
              </w:numPr>
              <w:rPr>
                <w:rFonts w:hint="eastAsia" w:ascii="Times New Roman" w:hAnsi="Times New Roman" w:eastAsia="仿宋_GB2312" w:cs="Times New Roman"/>
                <w:color w:val="auto"/>
                <w:kern w:val="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  <w:t>3.公共基础课程注重打好科学文化基础、培养学生思想政治素质、学科核心素养；专业（技能）课程注重提升专业能力、掌握专业技能，培养学生职业道德、综合素养</w:t>
            </w:r>
            <w:r>
              <w:rPr>
                <w:rFonts w:hint="eastAsia" w:eastAsia="仿宋_GB2312" w:cs="Times New Roman"/>
                <w:color w:val="auto"/>
                <w:kern w:val="0"/>
                <w:lang w:eastAsia="zh-CN"/>
              </w:rPr>
              <w:t>。</w:t>
            </w:r>
          </w:p>
        </w:tc>
      </w:tr>
      <w:tr w14:paraId="590CB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19" w:type="dxa"/>
            <w:vMerge w:val="continue"/>
            <w:noWrap w:val="0"/>
            <w:vAlign w:val="center"/>
          </w:tcPr>
          <w:p w14:paraId="532F37F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329" w:type="dxa"/>
            <w:noWrap w:val="0"/>
            <w:vAlign w:val="center"/>
          </w:tcPr>
          <w:p w14:paraId="10E1B9E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课程结构与内容</w:t>
            </w:r>
          </w:p>
        </w:tc>
        <w:tc>
          <w:tcPr>
            <w:tcW w:w="6446" w:type="dxa"/>
            <w:noWrap w:val="0"/>
            <w:vAlign w:val="center"/>
          </w:tcPr>
          <w:p w14:paraId="6F3485A9">
            <w:pPr>
              <w:pStyle w:val="4"/>
              <w:widowControl/>
              <w:numPr>
                <w:ilvl w:val="0"/>
                <w:numId w:val="0"/>
              </w:numPr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  <w:t>1.课程内容组织与安排凸显职业教育类型特征，公共基础课程内容及时反映新知识，体现学科知识与行业（或职业）应用场景的融合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lang w:eastAsia="zh-CN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  <w:t>专业（技能）课程对接新产业、新业态、新模式、新职业，反映相关领域新方法、新技术、新工艺、新标准，体现行业企业参与特征，紧贴本专业相关技术领域职业岗位（群）的能力要求。</w:t>
            </w:r>
          </w:p>
          <w:p w14:paraId="4F221025">
            <w:pPr>
              <w:pStyle w:val="4"/>
              <w:widowControl/>
              <w:numPr>
                <w:ilvl w:val="0"/>
                <w:numId w:val="0"/>
              </w:numPr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  <w:t>2.落实课程思政要求，结合不同课程特点、思维方法和价值理念，挖掘课程思政元素，有机融入课程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lang w:val="en-US" w:eastAsia="zh-CN"/>
              </w:rPr>
              <w:t>教学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  <w:t>。</w:t>
            </w:r>
          </w:p>
          <w:p w14:paraId="74F5F8D1">
            <w:pPr>
              <w:pStyle w:val="4"/>
              <w:widowControl/>
              <w:numPr>
                <w:ilvl w:val="0"/>
                <w:numId w:val="0"/>
              </w:numPr>
              <w:rPr>
                <w:rFonts w:hint="eastAsia" w:ascii="Times New Roman" w:hAnsi="Times New Roman" w:eastAsia="仿宋_GB2312" w:cs="Times New Roman"/>
                <w:color w:val="auto"/>
                <w:kern w:val="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  <w:t>3.课程内容完整、结构合理、逻辑清晰，学习单元划分合理、衔接有序、教学学时分配合理</w:t>
            </w:r>
            <w:r>
              <w:rPr>
                <w:rFonts w:hint="eastAsia" w:eastAsia="仿宋_GB2312" w:cs="Times New Roman"/>
                <w:color w:val="auto"/>
                <w:kern w:val="0"/>
                <w:lang w:eastAsia="zh-CN"/>
              </w:rPr>
              <w:t>。</w:t>
            </w:r>
          </w:p>
        </w:tc>
      </w:tr>
      <w:tr w14:paraId="1F256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19" w:type="dxa"/>
            <w:vMerge w:val="restart"/>
            <w:noWrap w:val="0"/>
            <w:vAlign w:val="center"/>
          </w:tcPr>
          <w:p w14:paraId="147CC183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课程建设</w:t>
            </w:r>
          </w:p>
        </w:tc>
        <w:tc>
          <w:tcPr>
            <w:tcW w:w="1329" w:type="dxa"/>
            <w:noWrap w:val="0"/>
            <w:vAlign w:val="center"/>
          </w:tcPr>
          <w:p w14:paraId="287A83E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基本信息与规范</w:t>
            </w:r>
          </w:p>
        </w:tc>
        <w:tc>
          <w:tcPr>
            <w:tcW w:w="6446" w:type="dxa"/>
            <w:noWrap w:val="0"/>
            <w:vAlign w:val="center"/>
          </w:tcPr>
          <w:p w14:paraId="4FF3E956">
            <w:pPr>
              <w:pStyle w:val="4"/>
              <w:widowControl/>
              <w:numPr>
                <w:ilvl w:val="0"/>
                <w:numId w:val="0"/>
              </w:numPr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1.课程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  <w:t>基本信息完整，课程页面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应包括课程介绍、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  <w:t>教学团队、教材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lang w:val="en-US" w:eastAsia="zh-CN"/>
              </w:rPr>
              <w:t>选用情况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lang w:val="en-US" w:eastAsia="zh-CN"/>
              </w:rPr>
              <w:t>相关辅助学习材料、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  <w:t>相关职业类证书等信息。</w:t>
            </w:r>
          </w:p>
          <w:p w14:paraId="289DB382">
            <w:pPr>
              <w:pStyle w:val="4"/>
              <w:widowControl/>
              <w:numPr>
                <w:ilvl w:val="0"/>
                <w:numId w:val="0"/>
              </w:numP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2.课程页面布局合理、信息量适度、色彩搭配协调。</w:t>
            </w:r>
          </w:p>
          <w:p w14:paraId="166D48FF">
            <w:pPr>
              <w:pStyle w:val="4"/>
              <w:widowControl/>
              <w:numPr>
                <w:ilvl w:val="0"/>
                <w:numId w:val="0"/>
              </w:numP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3.导航清晰明确，符号规范。</w:t>
            </w:r>
          </w:p>
          <w:p w14:paraId="40FB7F43">
            <w:pPr>
              <w:pStyle w:val="4"/>
              <w:widowControl/>
              <w:numPr>
                <w:ilvl w:val="0"/>
                <w:numId w:val="0"/>
              </w:numP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语言文字、图片、地图等使用符合相关规定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eastAsia="zh-CN"/>
              </w:rPr>
              <w:t>。</w:t>
            </w:r>
          </w:p>
        </w:tc>
      </w:tr>
      <w:tr w14:paraId="1471C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19" w:type="dxa"/>
            <w:vMerge w:val="continue"/>
            <w:noWrap w:val="0"/>
            <w:vAlign w:val="center"/>
          </w:tcPr>
          <w:p w14:paraId="6F6A4E2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329" w:type="dxa"/>
            <w:noWrap w:val="0"/>
            <w:vAlign w:val="center"/>
          </w:tcPr>
          <w:p w14:paraId="2964A70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资源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建设与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应用</w:t>
            </w:r>
          </w:p>
        </w:tc>
        <w:tc>
          <w:tcPr>
            <w:tcW w:w="6446" w:type="dxa"/>
            <w:noWrap w:val="0"/>
            <w:vAlign w:val="center"/>
          </w:tcPr>
          <w:p w14:paraId="1A8BF1A2">
            <w:pPr>
              <w:pStyle w:val="4"/>
              <w:widowControl/>
              <w:numPr>
                <w:ilvl w:val="0"/>
                <w:numId w:val="0"/>
              </w:numP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1.课程资源以自主设计与开发为主，与课程内容相匹配、全覆盖，内在逻辑合理、内容完整精炼，能够满足学校教学和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学生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学习需求，做到能学辅教；体现课程思政建设要求，体现行业发展的前沿技术和最新成果。</w:t>
            </w:r>
          </w:p>
          <w:p w14:paraId="256F95B3">
            <w:pPr>
              <w:pStyle w:val="4"/>
              <w:widowControl/>
              <w:numPr>
                <w:ilvl w:val="0"/>
                <w:numId w:val="0"/>
              </w:numP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2.课程内容丰富、形式多样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/>
              </w:rPr>
              <w:t>原创度高、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</w:rPr>
              <w:t>质量精良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/>
              </w:rPr>
              <w:t>符合大众审美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，针对各模块知识点或技能点设置对应的授课视频、动画、虚拟仿真、演示文稿等教学资源和测验、作业、考试等教学活动。</w:t>
            </w:r>
          </w:p>
          <w:p w14:paraId="11DC52EC">
            <w:pPr>
              <w:pStyle w:val="4"/>
              <w:widowControl/>
              <w:numPr>
                <w:ilvl w:val="0"/>
                <w:numId w:val="0"/>
              </w:numP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3.科学规划在线学习资源，动画、视频、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音频、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虚拟仿真等类型资源一般不少于30%</w:t>
            </w:r>
            <w:r>
              <w:rPr>
                <w:rFonts w:hint="eastAsia" w:eastAsia="仿宋_GB2312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</w:tc>
      </w:tr>
      <w:tr w14:paraId="5A758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19" w:type="dxa"/>
            <w:vMerge w:val="continue"/>
            <w:noWrap w:val="0"/>
            <w:vAlign w:val="center"/>
          </w:tcPr>
          <w:p w14:paraId="531559D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329" w:type="dxa"/>
            <w:noWrap w:val="0"/>
            <w:vAlign w:val="center"/>
          </w:tcPr>
          <w:p w14:paraId="153DA4F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课程管理与保障</w:t>
            </w:r>
          </w:p>
        </w:tc>
        <w:tc>
          <w:tcPr>
            <w:tcW w:w="6446" w:type="dxa"/>
            <w:noWrap w:val="0"/>
            <w:vAlign w:val="center"/>
          </w:tcPr>
          <w:p w14:paraId="3ECAD601">
            <w:pPr>
              <w:pStyle w:val="4"/>
              <w:widowControl/>
              <w:numPr>
                <w:ilvl w:val="0"/>
                <w:numId w:val="0"/>
              </w:numP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1.学校在线课程管理制度和机构健全，已出台在线课程教学管理办法，对课程选用、教学、评价、督导和学分认定等进行规范，做到线上与线下课程教学同管理、同要求，有支持在线课程建设和实施的激励制度，提供人员、经费等保障。</w:t>
            </w:r>
          </w:p>
          <w:p w14:paraId="5C9A172D">
            <w:pPr>
              <w:pStyle w:val="4"/>
              <w:widowControl/>
              <w:numPr>
                <w:ilvl w:val="0"/>
                <w:numId w:val="0"/>
              </w:numP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2.重视知识产权等问题，与院校、企业、团队合作签署的知识产权保障协议（或书面约定）规范严谨、平等互利。</w:t>
            </w:r>
          </w:p>
          <w:p w14:paraId="672A43FD">
            <w:pPr>
              <w:pStyle w:val="4"/>
              <w:widowControl/>
              <w:numPr>
                <w:ilvl w:val="0"/>
                <w:numId w:val="0"/>
              </w:numP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  <w:t>教材选用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lang w:val="en-US" w:eastAsia="zh-CN"/>
              </w:rPr>
              <w:t>规范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  <w:t>合理，符合有关规定。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引用资源规范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科学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，符合教学需求</w:t>
            </w:r>
            <w:r>
              <w:rPr>
                <w:rFonts w:hint="eastAsia" w:eastAsia="仿宋_GB2312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</w:tc>
      </w:tr>
      <w:tr w14:paraId="44CCF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19" w:type="dxa"/>
            <w:vMerge w:val="restart"/>
            <w:noWrap w:val="0"/>
            <w:vAlign w:val="center"/>
          </w:tcPr>
          <w:p w14:paraId="0273A868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课程实施</w:t>
            </w:r>
          </w:p>
        </w:tc>
        <w:tc>
          <w:tcPr>
            <w:tcW w:w="1329" w:type="dxa"/>
            <w:noWrap w:val="0"/>
            <w:vAlign w:val="center"/>
          </w:tcPr>
          <w:p w14:paraId="6925A25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教学组织与安排</w:t>
            </w:r>
          </w:p>
        </w:tc>
        <w:tc>
          <w:tcPr>
            <w:tcW w:w="6446" w:type="dxa"/>
            <w:noWrap w:val="0"/>
            <w:vAlign w:val="top"/>
          </w:tcPr>
          <w:p w14:paraId="6E6AC887">
            <w:pPr>
              <w:pStyle w:val="4"/>
              <w:widowControl/>
              <w:numPr>
                <w:ilvl w:val="0"/>
                <w:numId w:val="0"/>
              </w:numP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1.围绕学习任务，细化具体教学目标，合理把握教学进度、组织具体教学。</w:t>
            </w:r>
          </w:p>
          <w:p w14:paraId="1BCF256D">
            <w:pPr>
              <w:pStyle w:val="4"/>
              <w:widowControl/>
              <w:numPr>
                <w:ilvl w:val="0"/>
                <w:numId w:val="0"/>
              </w:numP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2.教学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设计科学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，恰当进行课程导入，课程重点难点讲授准确全面，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方法恰当，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合理使用案例式、探究式等多种教学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方法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。</w:t>
            </w:r>
          </w:p>
          <w:p w14:paraId="7BD6BD66">
            <w:pPr>
              <w:pStyle w:val="4"/>
              <w:widowControl/>
              <w:numPr>
                <w:ilvl w:val="0"/>
                <w:numId w:val="0"/>
              </w:numP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3.出镜教师教学过程中教仪教态自然大方，语言表达清晰、深入浅出，注重教学互动、激发学生学习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主动性、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积极性</w:t>
            </w:r>
          </w:p>
        </w:tc>
      </w:tr>
      <w:tr w14:paraId="1A2A2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19" w:type="dxa"/>
            <w:vMerge w:val="continue"/>
            <w:noWrap w:val="0"/>
            <w:vAlign w:val="center"/>
          </w:tcPr>
          <w:p w14:paraId="6DC6D8EA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329" w:type="dxa"/>
            <w:noWrap w:val="0"/>
            <w:vAlign w:val="center"/>
          </w:tcPr>
          <w:p w14:paraId="1D0D0C1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教学活动与过程</w:t>
            </w:r>
          </w:p>
        </w:tc>
        <w:tc>
          <w:tcPr>
            <w:tcW w:w="6446" w:type="dxa"/>
            <w:noWrap w:val="0"/>
            <w:vAlign w:val="top"/>
          </w:tcPr>
          <w:p w14:paraId="1B0FFAEB">
            <w:pPr>
              <w:widowControl/>
              <w:numPr>
                <w:ilvl w:val="0"/>
                <w:numId w:val="0"/>
              </w:numP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1.各项教学活动完整、有效，教学过程可回溯，关注教与学全过程的信息采集，教学过程材料完整。</w:t>
            </w:r>
          </w:p>
          <w:p w14:paraId="5F1081A1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2.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合理使用信息技术手段创新教学模式，教学过程突出学生中心，适合在线学习或混合式教学，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</w:rPr>
              <w:t>体现行动导向教学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</w:rPr>
              <w:t>，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能够激发学生学习兴趣和潜能。</w:t>
            </w:r>
          </w:p>
          <w:p w14:paraId="6B8DBE03">
            <w:pPr>
              <w:widowControl/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3.提供在线测试、即时在线反馈、作业提交和批改、网上社区讨论等学习支持服务，促进师生之间、学生之间进行资源共享、问题交流和协作学习，实现师生、生生的深度有效互动</w:t>
            </w:r>
            <w:r>
              <w:rPr>
                <w:rFonts w:hint="eastAsia" w:eastAsia="仿宋_GB2312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</w:tc>
      </w:tr>
      <w:tr w14:paraId="73FE0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19" w:type="dxa"/>
            <w:vMerge w:val="continue"/>
            <w:noWrap w:val="0"/>
            <w:vAlign w:val="center"/>
          </w:tcPr>
          <w:p w14:paraId="0F69B987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329" w:type="dxa"/>
            <w:noWrap w:val="0"/>
            <w:vAlign w:val="center"/>
          </w:tcPr>
          <w:p w14:paraId="45E97E6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学习考核与评价</w:t>
            </w:r>
          </w:p>
        </w:tc>
        <w:tc>
          <w:tcPr>
            <w:tcW w:w="6446" w:type="dxa"/>
            <w:noWrap w:val="0"/>
            <w:vAlign w:val="top"/>
          </w:tcPr>
          <w:p w14:paraId="0240ECA5">
            <w:pPr>
              <w:widowControl/>
              <w:numPr>
                <w:ilvl w:val="0"/>
                <w:numId w:val="0"/>
              </w:numP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1.建立多元化学习评价体系，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包括但不限于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结果评价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过程评价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增值评价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综合评价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。</w:t>
            </w:r>
          </w:p>
          <w:p w14:paraId="3ED7F896">
            <w:pPr>
              <w:numPr>
                <w:ilvl w:val="0"/>
                <w:numId w:val="0"/>
              </w:numP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2.探索基于大数据的信息采集分析，全程记录和跟踪教师的教学和学生学习过程，形成教与学的正向反馈。</w:t>
            </w:r>
          </w:p>
          <w:p w14:paraId="4F24C6B3">
            <w:pPr>
              <w:numPr>
                <w:ilvl w:val="0"/>
                <w:numId w:val="0"/>
              </w:numPr>
              <w:rPr>
                <w:rFonts w:hint="eastAsia" w:ascii="Times New Roman" w:hAnsi="Times New Roman" w:eastAsia="仿宋_GB2312" w:cs="Times New Roman"/>
                <w:bCs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3.课程建设过程中，不断完善课程考核评价机制，有效反思课程建设经验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及时修正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不足，教学诊断改进积极有效</w:t>
            </w:r>
            <w:r>
              <w:rPr>
                <w:rFonts w:hint="eastAsia" w:eastAsia="仿宋_GB2312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</w:tc>
      </w:tr>
      <w:tr w14:paraId="08AE1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19" w:type="dxa"/>
            <w:vMerge w:val="restart"/>
            <w:noWrap w:val="0"/>
            <w:vAlign w:val="center"/>
          </w:tcPr>
          <w:p w14:paraId="36ACB4BB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应用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效果</w:t>
            </w:r>
          </w:p>
        </w:tc>
        <w:tc>
          <w:tcPr>
            <w:tcW w:w="1329" w:type="dxa"/>
            <w:noWrap w:val="0"/>
            <w:vAlign w:val="center"/>
          </w:tcPr>
          <w:p w14:paraId="3B5EC49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教学效果与反馈</w:t>
            </w:r>
          </w:p>
        </w:tc>
        <w:tc>
          <w:tcPr>
            <w:tcW w:w="6446" w:type="dxa"/>
            <w:noWrap w:val="0"/>
            <w:vAlign w:val="center"/>
          </w:tcPr>
          <w:p w14:paraId="30E7070E">
            <w:pPr>
              <w:pStyle w:val="4"/>
              <w:widowControl/>
              <w:numPr>
                <w:ilvl w:val="0"/>
                <w:numId w:val="0"/>
              </w:numP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学生适应在线学习方式，可以有效开展个性化学习与合作学习，对课程的参与度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高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、学习获得感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强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，学习效果好。</w:t>
            </w:r>
          </w:p>
          <w:p w14:paraId="4C4E6406">
            <w:pPr>
              <w:pStyle w:val="4"/>
              <w:widowControl/>
              <w:numPr>
                <w:ilvl w:val="0"/>
                <w:numId w:val="0"/>
              </w:numP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2.教师具有较强的信息化教学能力，教学团队配合默契，带动其他教育教学改革取得实质性成果。</w:t>
            </w:r>
          </w:p>
          <w:p w14:paraId="5F9247DD">
            <w:pPr>
              <w:pStyle w:val="4"/>
              <w:widowControl/>
              <w:numPr>
                <w:ilvl w:val="0"/>
                <w:numId w:val="0"/>
              </w:numPr>
              <w:rPr>
                <w:rFonts w:hint="eastAsia" w:ascii="Times New Roman" w:hAnsi="Times New Roman" w:eastAsia="仿宋_GB2312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3.学生对教师教学以及课程的满意度较高</w:t>
            </w:r>
            <w:r>
              <w:rPr>
                <w:rFonts w:hint="eastAsia" w:eastAsia="仿宋_GB2312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</w:tc>
      </w:tr>
      <w:tr w14:paraId="5CC83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19" w:type="dxa"/>
            <w:vMerge w:val="continue"/>
            <w:noWrap w:val="0"/>
            <w:vAlign w:val="center"/>
          </w:tcPr>
          <w:p w14:paraId="5F6F96F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329" w:type="dxa"/>
            <w:noWrap w:val="0"/>
            <w:vAlign w:val="center"/>
          </w:tcPr>
          <w:p w14:paraId="25634DC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技术支持与服务</w:t>
            </w:r>
          </w:p>
        </w:tc>
        <w:tc>
          <w:tcPr>
            <w:tcW w:w="6446" w:type="dxa"/>
            <w:noWrap w:val="0"/>
            <w:vAlign w:val="center"/>
          </w:tcPr>
          <w:p w14:paraId="4B7B56A6">
            <w:pPr>
              <w:widowControl/>
              <w:numPr>
                <w:ilvl w:val="0"/>
                <w:numId w:val="0"/>
              </w:numP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1.各类教学资源应用充分，活跃用户数占课程注册使用人数的比例较高。</w:t>
            </w:r>
          </w:p>
          <w:p w14:paraId="7301AFA0">
            <w:pPr>
              <w:widowControl/>
              <w:numPr>
                <w:ilvl w:val="0"/>
                <w:numId w:val="0"/>
              </w:numP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2.在线课程教学管理责任有效落实，有效防范在线刷课、替课、刷考、替考行为。</w:t>
            </w:r>
          </w:p>
          <w:p w14:paraId="065AEDBB">
            <w:pPr>
              <w:widowControl/>
              <w:numPr>
                <w:ilvl w:val="0"/>
                <w:numId w:val="0"/>
              </w:numP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3.课程平台能够保障信息安全，能够在多种终端上运行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同时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满足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提供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开放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用户身份数据、课程访问数据、学习行为数据以及相关运行数据等监管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要求</w:t>
            </w:r>
            <w:r>
              <w:rPr>
                <w:rFonts w:hint="eastAsia" w:eastAsia="仿宋_GB2312" w:cs="Times New Roman"/>
                <w:color w:val="auto"/>
                <w:kern w:val="0"/>
                <w:szCs w:val="21"/>
                <w:lang w:val="en-US" w:eastAsia="zh-CN"/>
              </w:rPr>
              <w:t>。</w:t>
            </w:r>
          </w:p>
        </w:tc>
      </w:tr>
      <w:tr w14:paraId="574D9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119" w:type="dxa"/>
            <w:vMerge w:val="continue"/>
            <w:noWrap w:val="0"/>
            <w:vAlign w:val="center"/>
          </w:tcPr>
          <w:p w14:paraId="25CA8F5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329" w:type="dxa"/>
            <w:noWrap w:val="0"/>
            <w:vAlign w:val="center"/>
          </w:tcPr>
          <w:p w14:paraId="5E31F60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课程示范与引领</w:t>
            </w:r>
          </w:p>
        </w:tc>
        <w:tc>
          <w:tcPr>
            <w:tcW w:w="6446" w:type="dxa"/>
            <w:noWrap w:val="0"/>
            <w:vAlign w:val="top"/>
          </w:tcPr>
          <w:p w14:paraId="686870B3">
            <w:pPr>
              <w:widowControl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1.在教学和课程改革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方面与同类课程相比优势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明显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，具有推广价值。</w:t>
            </w:r>
          </w:p>
          <w:p w14:paraId="6FBB7640">
            <w:pPr>
              <w:widowControl/>
              <w:rPr>
                <w:rFonts w:hint="eastAsia" w:ascii="Times New Roman" w:hAnsi="Times New Roman" w:eastAsia="仿宋_GB2312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2.面向其他院校学生、企业员工和社会学习者开放学习，可供其他院校教师教学引用，用户使用活跃度高，应用效果良好、社会影响力大，认可度高</w:t>
            </w:r>
            <w:r>
              <w:rPr>
                <w:rFonts w:hint="eastAsia" w:eastAsia="仿宋_GB2312" w:cs="Times New Roman"/>
                <w:color w:val="auto"/>
                <w:szCs w:val="21"/>
                <w:lang w:eastAsia="zh-CN"/>
              </w:rPr>
              <w:t>。</w:t>
            </w:r>
          </w:p>
        </w:tc>
      </w:tr>
      <w:tr w14:paraId="3F385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19" w:type="dxa"/>
            <w:noWrap w:val="0"/>
            <w:vAlign w:val="center"/>
          </w:tcPr>
          <w:p w14:paraId="6382575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课程创新</w:t>
            </w:r>
          </w:p>
        </w:tc>
        <w:tc>
          <w:tcPr>
            <w:tcW w:w="7775" w:type="dxa"/>
            <w:gridSpan w:val="2"/>
            <w:noWrap w:val="0"/>
            <w:vAlign w:val="center"/>
          </w:tcPr>
          <w:p w14:paraId="321A70DC">
            <w:pPr>
              <w:widowControl/>
              <w:jc w:val="left"/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充分彰显职业教育类型特征，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</w:rPr>
              <w:t>体现专业数字化转型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新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要求，能够较好解决职业教育教学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痛点难点问题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。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课程与教学改革理念具有原创性、教学实践效果显著，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</w:rPr>
              <w:t>在落实课程思政、优化教学内容、创新教学模式、改进教学评价、运用信息技术等方面创新明显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eastAsia="zh-CN"/>
              </w:rPr>
              <w:t>。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能够提供双语教学资源、进行双语教学等</w:t>
            </w:r>
            <w:r>
              <w:rPr>
                <w:rFonts w:hint="eastAsia" w:eastAsia="仿宋_GB2312" w:cs="Times New Roman"/>
                <w:color w:val="auto"/>
                <w:kern w:val="0"/>
                <w:szCs w:val="21"/>
                <w:lang w:eastAsia="zh-CN"/>
              </w:rPr>
              <w:t>。</w:t>
            </w:r>
          </w:p>
        </w:tc>
      </w:tr>
    </w:tbl>
    <w:p w14:paraId="25F0EE64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FE8285"/>
    <w:multiLevelType w:val="singleLevel"/>
    <w:tmpl w:val="EFFE828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CD199A"/>
    <w:rsid w:val="2ACD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2026-10-23T07:20:00Z</dcterms:created>
  <dc:creator></dc:creator>
  <cp:lastModifiedBy></cp:lastModifiedBy>
  <dcterms:modified xsi:type="dcterms:W3CDTF">2026-10-23T07:21:37Z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1457F410ACFF451C8AF203A0FD2BBFD5_11</vt:lpwstr>
  </property>
  <property fmtid="{D5CDD505-2E9C-101B-9397-08002B2CF9AE}" pid="4" name="KSOTemplateDocerSaveRecord">
    <vt:lpwstr>eyJoZGlkIjoiMWM0ZThlYmM1OWZlYjNlNjMwYWYxNWRmMjIzNzFiMzEiLCJ1c2VySWQiOiI2MTAxNTYyMzUifQ==</vt:lpwstr>
  </property>
</Properties>
</file>